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Государственное </w:t>
      </w:r>
      <w:proofErr w:type="gramStart"/>
      <w:r>
        <w:rPr>
          <w:rStyle w:val="normaltextrun"/>
          <w:color w:val="000000"/>
        </w:rPr>
        <w:t>бюджетное  общеобразовательное</w:t>
      </w:r>
      <w:proofErr w:type="gramEnd"/>
      <w:r>
        <w:rPr>
          <w:rStyle w:val="normaltextrun"/>
          <w:color w:val="000000"/>
        </w:rPr>
        <w:t xml:space="preserve"> учреждение</w:t>
      </w: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естественно-научного цикла   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Московского района                                 Московского района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Санкт-Петербурга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16.06.2021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30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.08.2021 № 1                                                                      __________________   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А.В.Шепелев</w:t>
      </w:r>
      <w:proofErr w:type="spellEnd"/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района  Санкт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от  16.06.2021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№ 8                                                                                 </w:t>
      </w:r>
    </w:p>
    <w:p w:rsidR="00810780" w:rsidRDefault="00810780" w:rsidP="0081078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53160" w:rsidRDefault="00C5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C53160" w:rsidRDefault="00C531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C53160" w:rsidRDefault="00191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color w:val="000000"/>
          <w:sz w:val="52"/>
          <w:szCs w:val="52"/>
        </w:rPr>
        <w:t>по  химии</w:t>
      </w:r>
      <w:proofErr w:type="gramEnd"/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36"/>
          <w:szCs w:val="36"/>
        </w:rPr>
        <w:t>ДЛЯ    11      КЛАССА</w:t>
      </w:r>
      <w:r>
        <w:rPr>
          <w:rStyle w:val="eop"/>
          <w:color w:val="000000"/>
          <w:sz w:val="36"/>
          <w:szCs w:val="36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proofErr w:type="gramStart"/>
      <w:r>
        <w:rPr>
          <w:rStyle w:val="normaltextrun"/>
          <w:color w:val="000000"/>
          <w:sz w:val="28"/>
          <w:szCs w:val="28"/>
        </w:rPr>
        <w:t>НА  2021</w:t>
      </w:r>
      <w:proofErr w:type="gramEnd"/>
      <w:r>
        <w:rPr>
          <w:rStyle w:val="normaltextrun"/>
          <w:color w:val="000000"/>
          <w:sz w:val="28"/>
          <w:szCs w:val="28"/>
        </w:rPr>
        <w:t>-2022 УЧ. ГОД</w:t>
      </w:r>
      <w:r>
        <w:rPr>
          <w:rStyle w:val="eop"/>
          <w:color w:val="000000"/>
          <w:sz w:val="28"/>
          <w:szCs w:val="28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Составитель:</w:t>
      </w:r>
      <w:r>
        <w:rPr>
          <w:rStyle w:val="eop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кафедра учителей </w:t>
      </w:r>
    </w:p>
    <w:p w:rsidR="00C53160" w:rsidRDefault="0019123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естественно-научного цикла</w:t>
      </w:r>
    </w:p>
    <w:p w:rsidR="00C53160" w:rsidRDefault="0019123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ГБОУ «Морская школа»</w:t>
      </w:r>
      <w:r>
        <w:rPr>
          <w:rStyle w:val="eop"/>
          <w:color w:val="000000"/>
          <w:sz w:val="28"/>
          <w:szCs w:val="28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:rsidR="00C53160" w:rsidRDefault="00C531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:rsidR="00C53160" w:rsidRDefault="001912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Санкт-Петербург</w:t>
      </w:r>
      <w:r>
        <w:rPr>
          <w:rStyle w:val="eop"/>
          <w:color w:val="000000"/>
        </w:rPr>
        <w:t> </w:t>
      </w:r>
    </w:p>
    <w:p w:rsidR="00810780" w:rsidRDefault="008107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bookmarkStart w:id="0" w:name="_GoBack"/>
      <w:bookmarkEnd w:id="0"/>
    </w:p>
    <w:p w:rsidR="00C53160" w:rsidRPr="00810780" w:rsidRDefault="0019123F">
      <w:pPr>
        <w:pStyle w:val="a6"/>
        <w:spacing w:beforeAutospacing="0" w:afterAutospacing="0" w:line="12" w:lineRule="atLeast"/>
        <w:jc w:val="center"/>
        <w:rPr>
          <w:b/>
          <w:bCs/>
          <w:color w:val="000000"/>
          <w:sz w:val="28"/>
          <w:szCs w:val="28"/>
          <w:lang w:val="ru-RU"/>
        </w:rPr>
      </w:pPr>
      <w:r w:rsidRPr="00810780">
        <w:rPr>
          <w:b/>
          <w:bCs/>
          <w:color w:val="000000"/>
          <w:sz w:val="28"/>
          <w:szCs w:val="28"/>
          <w:lang w:val="ru-RU"/>
        </w:rPr>
        <w:lastRenderedPageBreak/>
        <w:t>Содержание</w:t>
      </w:r>
    </w:p>
    <w:p w:rsidR="00C53160" w:rsidRPr="00810780" w:rsidRDefault="00C53160">
      <w:pPr>
        <w:pStyle w:val="a6"/>
        <w:spacing w:beforeAutospacing="0" w:afterAutospacing="0" w:line="12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7"/>
        <w:tblW w:w="10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9262"/>
        <w:gridCol w:w="898"/>
      </w:tblGrid>
      <w:tr w:rsidR="00C53160">
        <w:trPr>
          <w:jc w:val="center"/>
        </w:trPr>
        <w:tc>
          <w:tcPr>
            <w:tcW w:w="453" w:type="dxa"/>
          </w:tcPr>
          <w:p w:rsidR="00C53160" w:rsidRPr="00810780" w:rsidRDefault="00C53160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62" w:type="dxa"/>
          </w:tcPr>
          <w:p w:rsidR="00C53160" w:rsidRPr="00810780" w:rsidRDefault="00C53160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lang w:val="ru-RU"/>
              </w:rPr>
              <w:t>стр</w:t>
            </w:r>
            <w:proofErr w:type="spellEnd"/>
          </w:p>
          <w:p w:rsidR="00C53160" w:rsidRDefault="00C53160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53160">
        <w:trPr>
          <w:jc w:val="center"/>
        </w:trPr>
        <w:tc>
          <w:tcPr>
            <w:tcW w:w="453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9262" w:type="dxa"/>
          </w:tcPr>
          <w:p w:rsidR="00C53160" w:rsidRDefault="0019123F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Пояснительная записка</w:t>
            </w:r>
          </w:p>
          <w:p w:rsidR="00C53160" w:rsidRDefault="00C53160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3-5</w:t>
            </w:r>
          </w:p>
        </w:tc>
      </w:tr>
      <w:tr w:rsidR="00C53160">
        <w:trPr>
          <w:jc w:val="center"/>
        </w:trPr>
        <w:tc>
          <w:tcPr>
            <w:tcW w:w="453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9262" w:type="dxa"/>
          </w:tcPr>
          <w:p w:rsidR="00C53160" w:rsidRDefault="0019123F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Планируемые результаты усвоения учебного предмета уровень СОО</w:t>
            </w:r>
          </w:p>
          <w:p w:rsidR="00C53160" w:rsidRDefault="00C53160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5-10</w:t>
            </w:r>
          </w:p>
        </w:tc>
      </w:tr>
      <w:tr w:rsidR="00C53160">
        <w:trPr>
          <w:jc w:val="center"/>
        </w:trPr>
        <w:tc>
          <w:tcPr>
            <w:tcW w:w="453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9262" w:type="dxa"/>
          </w:tcPr>
          <w:p w:rsidR="00C53160" w:rsidRDefault="0019123F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Содержание учебного предмета уровень СОО</w:t>
            </w:r>
          </w:p>
          <w:p w:rsidR="00C53160" w:rsidRDefault="00C53160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11-15</w:t>
            </w:r>
          </w:p>
        </w:tc>
      </w:tr>
      <w:tr w:rsidR="00C53160">
        <w:trPr>
          <w:trHeight w:val="157"/>
          <w:jc w:val="center"/>
        </w:trPr>
        <w:tc>
          <w:tcPr>
            <w:tcW w:w="453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9262" w:type="dxa"/>
          </w:tcPr>
          <w:p w:rsidR="00C53160" w:rsidRDefault="0019123F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Тематическое планирование с учетом программы воспитания</w:t>
            </w:r>
          </w:p>
          <w:p w:rsidR="00C53160" w:rsidRDefault="00C53160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16-20</w:t>
            </w:r>
          </w:p>
        </w:tc>
      </w:tr>
      <w:tr w:rsidR="00C53160">
        <w:trPr>
          <w:jc w:val="center"/>
        </w:trPr>
        <w:tc>
          <w:tcPr>
            <w:tcW w:w="453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9262" w:type="dxa"/>
          </w:tcPr>
          <w:p w:rsidR="00C53160" w:rsidRDefault="0019123F">
            <w:pPr>
              <w:pStyle w:val="a6"/>
              <w:spacing w:beforeAutospacing="0" w:afterAutospacing="0" w:line="12" w:lineRule="atLeas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Календарно-тематический план для 11 класса на 2021-22 учебный год</w:t>
            </w:r>
          </w:p>
        </w:tc>
        <w:tc>
          <w:tcPr>
            <w:tcW w:w="898" w:type="dxa"/>
          </w:tcPr>
          <w:p w:rsidR="00C53160" w:rsidRDefault="0019123F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21-33</w:t>
            </w:r>
          </w:p>
          <w:p w:rsidR="00C53160" w:rsidRDefault="00C53160">
            <w:pPr>
              <w:pStyle w:val="a6"/>
              <w:spacing w:beforeAutospacing="0" w:afterAutospacing="0" w:line="12" w:lineRule="atLeast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C53160" w:rsidRDefault="00C53160">
      <w:pPr>
        <w:pStyle w:val="a6"/>
        <w:spacing w:beforeAutospacing="0" w:afterAutospacing="0" w:line="12" w:lineRule="atLeast"/>
        <w:jc w:val="center"/>
        <w:rPr>
          <w:b/>
          <w:bCs/>
          <w:color w:val="000000"/>
        </w:rPr>
      </w:pPr>
    </w:p>
    <w:p w:rsidR="00C53160" w:rsidRDefault="00C53160"/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C53160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60" w:rsidRDefault="0019123F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3160" w:rsidRDefault="001912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«Х</w:t>
      </w:r>
      <w:r>
        <w:rPr>
          <w:rFonts w:ascii="Times New Roman" w:hAnsi="Times New Roman" w:cs="Times New Roman"/>
          <w:sz w:val="28"/>
          <w:szCs w:val="28"/>
        </w:rPr>
        <w:t>имия» предназначена для обучающихся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ГБОУ «Морская школа» Московского района Санкт-Петербурга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2021/2022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документами: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№ 273-ФЗ (в действующей редакции).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Приказ Министерства просвещения РФ от 3 сентября 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6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 от 20 мая 2020 г. № 254».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№189 (далее – СанПиН2.4.2.2821-10) с изменениями и дополнениями на 28 сентября 2020 года;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 с изменениями на 24.03.2021 года;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Санитарноэпидемиологические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(с изменениями и дополнениями на 22 мая 2019 года).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19 марта 2020 «Требования к результатам освоения основных образовательных программ основного общего образования и среднего общего образования, представленных в ФГОС ООО и ФГОС СОО»);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Примерная программа воспитания (одобрена Решением федерального учебно-методического объединения по общему образованию, протокол от 2 июня 2020 г. № 2/20);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России, протокол от 03.12.2019 № ПК-4вн);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Примерная рабочая программа по химии, составленная ФГБНУ «Институт стратегии развития образования Российской академии образования» (http://www.instrao.ru/primer).  года № ГД-39/04).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Концепция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России, протокол от 03.12.2019 № ПК-4вн).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Санкт-Петербурга от 17.07.2013 № 461-83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Санкт-Петербурге» с изменениями на 09.08.2021 г.;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Комитета по образованию Правительства Санкт-Петербурга от 09.04.2021 № 997-р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формировании учебных планов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 образовательных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учреждений Санкт-Петербурга, реализующих основные общеобразовательные программы, на 2021/2022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ГБОУ «Морская школа» Московского района Санкт-Петербурга;</w:t>
      </w:r>
    </w:p>
    <w:p w:rsidR="00C53160" w:rsidRDefault="001912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среднего общего образования (10-11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0319F2">
        <w:rPr>
          <w:rFonts w:ascii="Times New Roman" w:hAnsi="Times New Roman"/>
          <w:sz w:val="24"/>
          <w:szCs w:val="24"/>
        </w:rPr>
        <w:t xml:space="preserve">от 16.06.2021 № 84-ОБ </w:t>
      </w:r>
      <w:r>
        <w:rPr>
          <w:rFonts w:ascii="Times New Roman" w:hAnsi="Times New Roman" w:cs="Times New Roman"/>
          <w:sz w:val="28"/>
          <w:szCs w:val="28"/>
        </w:rPr>
        <w:t>«Об утверждении основной образовательной программы среднего общего образования»)</w:t>
      </w:r>
    </w:p>
    <w:p w:rsidR="00C53160" w:rsidRDefault="0019123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учебным планом для ступени среднего общего образования естественно-научной предметной области (базовый уровень) и программы воспитания, рассчитана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обучения. Общее количество часов на уровень СОО - 68.  На реализацию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классе отводится 34 часа (1 час в неделю). </w:t>
      </w:r>
    </w:p>
    <w:p w:rsidR="00C53160" w:rsidRDefault="0019123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</w:t>
      </w:r>
      <w:r>
        <w:rPr>
          <w:rFonts w:ascii="Times New Roman" w:eastAsia="SimSun" w:hAnsi="Times New Roman" w:cs="Times New Roman"/>
          <w:sz w:val="28"/>
          <w:szCs w:val="28"/>
        </w:rPr>
        <w:t xml:space="preserve">УМК авторского коллектива под руководством О.С. Габриеляна и использование в качестве основного учебника для 11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класса  линии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: Химия. 8 класс. Габриелян О.С., Остроумов И.Г., Сладков С.А. АО «Издательство «Просвещение». Химия. 9 класс. Габриелян О.С., Остроумов И.Г., Сладков С.А. АО «Издательство «Просвещение».  Химия.10 класс. Габриелян О.С., Остроумов И.Г., Сладков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С.А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.АО «Издательство «Просвещение» (базовый уровень). Химия. 11 класс. Габриелян О.С., Остроумов И.Г., Сладков С.А. АО «Издательство «Просвещение» (базовый уровень). </w:t>
      </w:r>
    </w:p>
    <w:p w:rsidR="00C53160" w:rsidRDefault="00C53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60" w:rsidRDefault="00191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53160" w:rsidRDefault="001912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СОО</w:t>
      </w:r>
    </w:p>
    <w:p w:rsidR="00C53160" w:rsidRDefault="00C53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160" w:rsidRDefault="001912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учебного предмета «Химия» направлена на достижение следующих образовательных результатов: 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включающих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3160" w:rsidRDefault="001912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отражать на базовом уровне: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сформированность умения давать количественные оценки и проводить расчеты </w:t>
      </w:r>
      <w:r>
        <w:rPr>
          <w:rFonts w:ascii="Times New Roman" w:hAnsi="Times New Roman" w:cs="Times New Roman"/>
          <w:sz w:val="28"/>
          <w:szCs w:val="28"/>
        </w:rPr>
        <w:lastRenderedPageBreak/>
        <w:t>по химическим формулам и уравнениям;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углубленном уровне дополнительно отражать: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сформированность системы знаний об общих химических закономерностях, законах, теориях;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C53160" w:rsidRDefault="001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C53160" w:rsidRDefault="00C53160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C53160" w:rsidRDefault="0019123F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 базовом уровне научится: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демонстрировать на примерах взаимосвязь между химией и другими естественными науками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раскрывать на примерах положения теории химического строения А.М. Бутлерова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объяснять причины многообразия веществ на основе общих представлений об их составе и строении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 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владеть правилами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приемами безопасной работы с химическими веществами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лабораторным оборудованием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гидролиза солей в повседневной жизни человека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правилами безопасного обращения с едкими, горючими и токсичными веществами, средствами бытовой химии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химической информации по названиям, идентификаторам, структурным формулам веществ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</w:t>
      </w:r>
    </w:p>
    <w:p w:rsidR="00C53160" w:rsidRDefault="0019123F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C53160" w:rsidRDefault="0019123F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</w:t>
      </w:r>
    </w:p>
    <w:p w:rsidR="00C53160" w:rsidRDefault="0019123F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</w:t>
      </w:r>
    </w:p>
    <w:p w:rsidR="00C53160" w:rsidRDefault="0019123F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</w:t>
      </w:r>
    </w:p>
    <w:p w:rsidR="00C53160" w:rsidRDefault="0019123F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</w:t>
      </w:r>
    </w:p>
    <w:p w:rsidR="00C53160" w:rsidRDefault="0019123F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</w:r>
    </w:p>
    <w:p w:rsidR="00C53160" w:rsidRDefault="00C53160">
      <w:pPr>
        <w:pStyle w:val="a8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53160" w:rsidRPr="000319F2" w:rsidRDefault="0019123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03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 НА УРОВЕНЬ СОО</w:t>
      </w:r>
    </w:p>
    <w:p w:rsidR="00C53160" w:rsidRPr="000319F2" w:rsidRDefault="00C531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ФГОС СОО химия может изучаться на базовом и углубленном уровнях.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гуманитарны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160" w:rsidRDefault="001912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</w:t>
      </w:r>
    </w:p>
    <w:p w:rsidR="00C53160" w:rsidRDefault="0019123F">
      <w:pPr>
        <w:pStyle w:val="aa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Основы органической химии. </w:t>
      </w:r>
    </w:p>
    <w:p w:rsidR="00C53160" w:rsidRDefault="0019123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Алканы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Строение молекулы метана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Гомологический ряд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Понятие 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циклоалканах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Алкены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Строение молекулы этилена.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Гомологический ряд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rFonts w:ascii="Times New Roman" w:eastAsia="Calibri" w:hAnsi="Times New Roman" w:cs="Times New Roman"/>
          <w:i/>
          <w:sz w:val="28"/>
          <w:szCs w:val="28"/>
        </w:rPr>
        <w:t>гидрирование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гидратация,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гидрогалогенирование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Алкадиены и каучуки.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Понятие об алкадиенах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Алкины.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Строение молекулы ацетилена.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Гомологический ряд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rFonts w:ascii="Times New Roman" w:eastAsia="Calibri" w:hAnsi="Times New Roman" w:cs="Times New Roman"/>
          <w:i/>
          <w:sz w:val="28"/>
          <w:szCs w:val="28"/>
        </w:rPr>
        <w:t>гидрирование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гидратация,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гидрогалогенирование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Бензол как представитель ароматических углеводородов. </w:t>
      </w:r>
      <w:r>
        <w:rPr>
          <w:rFonts w:ascii="Times New Roman" w:eastAsia="Calibri" w:hAnsi="Times New Roman" w:cs="Times New Roman"/>
          <w:i/>
          <w:sz w:val="28"/>
          <w:szCs w:val="28"/>
        </w:rPr>
        <w:t>Строение молекулы бензола.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Спирты.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гидроксогруппы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реакция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галогеноводородами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Фенол.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Строение молекулы фенола. </w:t>
      </w:r>
      <w:r>
        <w:rPr>
          <w:rFonts w:ascii="Times New Roman" w:eastAsia="Calibri" w:hAnsi="Times New Roman" w:cs="Times New Roman"/>
          <w:i/>
          <w:sz w:val="28"/>
          <w:szCs w:val="28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Применение фенола.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Альдегиды.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Метаналь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(формальдегид)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этаналь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Карбоновые кислоты.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Сложные эфиры и жиры.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Мылá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как соли высших карбоновых кислот. Моющие свойства мыла.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Углеводы.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Классификация углеводов. Нахождение углеводов в природе. Глюкоза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альдегидоспирт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Брожение глюкозы. Сахароза. </w:t>
      </w:r>
      <w:r>
        <w:rPr>
          <w:rFonts w:ascii="Times New Roman" w:eastAsia="Calibri" w:hAnsi="Times New Roman" w:cs="Times New Roman"/>
          <w:i/>
          <w:sz w:val="28"/>
          <w:szCs w:val="28"/>
        </w:rPr>
        <w:t>Гидролиз сахарозы.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Идентификация органических соединений.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Генетическая связь между классами органических соединений. </w:t>
      </w:r>
      <w:r>
        <w:rPr>
          <w:rFonts w:ascii="Times New Roman" w:eastAsia="Calibri" w:hAnsi="Times New Roman" w:cs="Times New Roman"/>
          <w:sz w:val="28"/>
          <w:szCs w:val="28"/>
        </w:rPr>
        <w:t>Типы химических реакций в органической химии.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Аминокислоты и белки.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Теоретические основы химии. 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Строение вещества.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Современная модель строения атома. Электронная конфигурация атома. </w:t>
      </w:r>
      <w:r>
        <w:rPr>
          <w:rFonts w:ascii="Times New Roman" w:eastAsia="Calibri" w:hAnsi="Times New Roman" w:cs="Times New Roman"/>
          <w:i/>
          <w:sz w:val="28"/>
          <w:szCs w:val="28"/>
        </w:rPr>
        <w:t>Основное и возбужденные состояния атомов.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элементов  Д.И.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Виды химической связи (ковалентная, ионная, металлическая, водородная) и механизмы ее образования.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>
        <w:rPr>
          <w:rFonts w:ascii="Times New Roman" w:eastAsia="Calibri" w:hAnsi="Times New Roman" w:cs="Times New Roman"/>
          <w:sz w:val="28"/>
          <w:szCs w:val="28"/>
        </w:rPr>
        <w:t>Причины многообразия веществ.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Химические реакции.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Дисперсные системы. Понятие о коллоидах (золи, гели). Истинные растворы.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Реакции в растворах электролитов.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rFonts w:ascii="Times New Roman" w:eastAsia="Calibri" w:hAnsi="Times New Roman" w:cs="Times New Roman"/>
          <w:i/>
          <w:sz w:val="28"/>
          <w:szCs w:val="28"/>
        </w:rPr>
        <w:t>Электролиз растворов и расплавов. Применение электролиза в промышленности.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Химия и жизнь. 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rFonts w:ascii="Times New Roman" w:eastAsia="Calibri" w:hAnsi="Times New Roman" w:cs="Times New Roman"/>
          <w:i/>
          <w:sz w:val="28"/>
          <w:szCs w:val="28"/>
        </w:rPr>
        <w:t>химический анализ и синтез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методы научного познания.</w:t>
      </w:r>
    </w:p>
    <w:p w:rsidR="00C53160" w:rsidRDefault="0019123F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и здоровье.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rFonts w:ascii="Times New Roman" w:eastAsia="Calibri" w:hAnsi="Times New Roman" w:cs="Times New Roman"/>
          <w:i/>
          <w:sz w:val="28"/>
          <w:szCs w:val="28"/>
        </w:rPr>
        <w:t>Пищевые добавки. Основы пищевой химии.</w:t>
      </w:r>
    </w:p>
    <w:p w:rsidR="00C53160" w:rsidRDefault="0019123F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в повседневной жизни.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Моющие и чистящие средства.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Средства борьбы с бытовыми насекомыми: репелленты, инсектициды.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личной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гигиены и косметики. Правила безопасной работы с едкими, горючими и токсичными веществами, средствами бытовой химии.</w:t>
      </w:r>
    </w:p>
    <w:p w:rsidR="00C53160" w:rsidRDefault="0019123F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и сельское хозяйство.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Минеральные и органические удобрения. Средства защиты растений.</w:t>
      </w:r>
    </w:p>
    <w:p w:rsidR="00C53160" w:rsidRDefault="0019123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и энергетика.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Природные источники углеводородов. Природный и попутный нефтяной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C53160" w:rsidRDefault="0019123F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в строительстве.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Цемент. Бетон.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Подбор оптимальных строительных материалов в практической деятельности человека.</w:t>
      </w:r>
    </w:p>
    <w:p w:rsidR="00C53160" w:rsidRDefault="0019123F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Химия и экология.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C53160" w:rsidRDefault="001912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Типы расчетных задач: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массовой доли (массы) химического соединения в смеси.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массовой или объемной доли выхода продукта реакции от теоретически возможного.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теплового эффекта реакции.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объемных отношений газов при химических реакциях.</w:t>
      </w:r>
    </w:p>
    <w:p w:rsidR="00C53160" w:rsidRDefault="0019123F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C53160" w:rsidRDefault="0019123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Примерные темы практических работ: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Конструирование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шаростержневых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моделей молекул органических веществ.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Качественное определение углерода, водорода и хлора в органических веществах.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этилена и изучение его свойств.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Свойства одноатомных и многоатомных спиртов.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Химические свойства альдегидов.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Синтез сложного эфира.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свойств белков.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на распознавание органических веществ.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по теме «Генетическая связь между классами органических соединений».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Распознавание пластмасс и волокон.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Получение, собирание и распознавание газов.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по теме «Металлы».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по теме «Неметаллы».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 на распознавание неорганических веществ.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Решение экспериментальных задач по теме «Генетическая связь между классами неорганических соединений».</w:t>
      </w:r>
    </w:p>
    <w:p w:rsidR="00C53160" w:rsidRDefault="0019123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Исследование влияния различных факторов на скорость химической реакции.</w:t>
      </w:r>
    </w:p>
    <w:p w:rsidR="00C53160" w:rsidRDefault="001912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53160" w:rsidRDefault="00C5316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53160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53160" w:rsidRDefault="0019123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УЧЕТОМ ПРОГРАММЫ ВОСПИТАНИЯ</w:t>
      </w:r>
    </w:p>
    <w:p w:rsidR="00C53160" w:rsidRDefault="001912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УМК О.С. Габриелян, И.Г. Остроумов, С.А. Сладков</w:t>
      </w:r>
    </w:p>
    <w:p w:rsidR="00C53160" w:rsidRDefault="001912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 34 часа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уровень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)</w:t>
      </w:r>
    </w:p>
    <w:tbl>
      <w:tblPr>
        <w:tblStyle w:val="1"/>
        <w:tblW w:w="15320" w:type="dxa"/>
        <w:tblInd w:w="108" w:type="dxa"/>
        <w:tblLook w:val="04A0" w:firstRow="1" w:lastRow="0" w:firstColumn="1" w:lastColumn="0" w:noHBand="0" w:noVBand="1"/>
      </w:tblPr>
      <w:tblGrid>
        <w:gridCol w:w="2351"/>
        <w:gridCol w:w="3838"/>
        <w:gridCol w:w="3316"/>
        <w:gridCol w:w="4068"/>
        <w:gridCol w:w="1747"/>
      </w:tblGrid>
      <w:tr w:rsidR="00C53160">
        <w:tc>
          <w:tcPr>
            <w:tcW w:w="2351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838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 (в дидактических единицах)</w:t>
            </w:r>
          </w:p>
        </w:tc>
        <w:tc>
          <w:tcPr>
            <w:tcW w:w="3316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068" w:type="dxa"/>
          </w:tcPr>
          <w:p w:rsidR="00C53160" w:rsidRPr="0081078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</w:t>
            </w:r>
            <w:r w:rsidRPr="00810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компонент при изучении темы (реализация модуля программы воспитания «Школьный урок»)</w:t>
            </w: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3160">
        <w:tc>
          <w:tcPr>
            <w:tcW w:w="235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вещества</w:t>
            </w:r>
            <w:proofErr w:type="spellEnd"/>
          </w:p>
          <w:p w:rsidR="00C53160" w:rsidRDefault="00C53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вещества. Современная модель строения атома. Электронная конфигурация атома.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Электроотрицательность. Качественный и количественный состав вещества. Вещества молекулярного и немолекулярного строения. Причины многообразия веществ: изомерия, гомология, аллотропия. Виды химической связи (ковалентная, ионная, металлическая, водородная)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механизмы ее образования. Дисперсные системы. Понятие о коллоидах (золи, гели). Истинные растворы.  Явления, происходящие при растворении веществ, разрушение кристаллической решетки, диффузия, диссоциация, гидратация. 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 Золи, гели, понятие о коллоидах. </w:t>
            </w:r>
          </w:p>
        </w:tc>
        <w:tc>
          <w:tcPr>
            <w:tcW w:w="3316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Лабораторный опыт №1. Описание свойств веществ по типу кристаллической решетки  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№2. Ознакомление с коллекцией полимеров и изделий из них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№3. Дисперсные системы     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соответствующих задач предметного содержания для решения, проблемных ситуаций для обсуждения на уроке 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элементов смыслового чтения в предметное содержание урока химии с целью критического осмысления и анализа предметной информации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 детской среде ответственности, принципов коллективизма и навыков работы в команде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Менделеевских гостиных, где в форме ролевой игры происходит знакомство с биографией и научной деятельностью Д.И. Менделеева и других отечественных ученых-химиков, с целью формирования у обучающихся позитивных жизненных ориентиров и планов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3160">
        <w:tc>
          <w:tcPr>
            <w:tcW w:w="235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3838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Реакции ионного обмена, условия их протекания до конца.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Реакции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растворах электролитов.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Электролиз растворов и расплавов. Применение электролиза в промышленности.</w:t>
            </w:r>
          </w:p>
        </w:tc>
        <w:tc>
          <w:tcPr>
            <w:tcW w:w="3316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Лабораторный опыт №4. Реакция замещения меди железом в растворе медного купороса                              Лабораторный опыт №5. Реакция разложения перекиси водорода в присутствии каталазы 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 №6, №7. Гидролиз солей разных типов.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№8. Взаимодействие цинка с соляной кислотой. 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Pr="00810780" w:rsidRDefault="0019123F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</w:t>
            </w:r>
            <w:r w:rsidRPr="00810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№1.</w:t>
            </w:r>
          </w:p>
          <w:p w:rsidR="00C53160" w:rsidRPr="00810780" w:rsidRDefault="0019123F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78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"Химическая реакция"</w:t>
            </w:r>
          </w:p>
          <w:p w:rsidR="00C53160" w:rsidRPr="0081078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демонстрация результатов домашнего самостоятельного индивидуального и/или группового эксперимента в рамках урока с целью формирования навыков  самостоятельного выбора решения проблемной задачи, генерирования и оформления собственных идей, уважительного отношения к чужим идеям, оформленным в работах других исследователей, навыков публичного выступления, аргументирования и отстаивания своей точки зрения </w:t>
            </w:r>
          </w:p>
          <w:p w:rsidR="00C53160" w:rsidRPr="0081078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с использованием гаджетов, открытых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ресурсов, систем управления с целью формирования у обучаемых навыков сотрудничества, коммуникации, социальной ответственности, оперативного и качественного решения проблемы, воспитания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ценностного отношения</w:t>
            </w:r>
            <w:r w:rsidRPr="00810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миру</w:t>
            </w: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C53160">
        <w:tc>
          <w:tcPr>
            <w:tcW w:w="235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</w:t>
            </w:r>
          </w:p>
        </w:tc>
        <w:tc>
          <w:tcPr>
            <w:tcW w:w="3838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неорганических и органических веществ.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Свйоства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получение и основное применение в промышленности металлов, неметаллов, неорганических и органических кислот, неорганических и органических оснований, неорганических и органических амфотерных соединений (оксидов и гидроксидов), свойства, получение и применение солей.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</w:t>
            </w:r>
          </w:p>
        </w:tc>
        <w:tc>
          <w:tcPr>
            <w:tcW w:w="3316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№9. Ознакомление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коллекцией  металлов</w:t>
            </w:r>
            <w:proofErr w:type="gramEnd"/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№10. Ознакомление с коллекцией неметаллов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№11. Определение кислотности среды при помощи индикаторов                             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№12. Ознакомление с коллекцией кислот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№13. Свойства нерастворимых и растворимых оснований 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№14. Ознакомление с коллекцией оснований   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Лабораторный опыт №15.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коллекцией солей 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 "Решение экспериментальных задач по теме "Вещества и их свойства"</w:t>
            </w:r>
          </w:p>
        </w:tc>
        <w:tc>
          <w:tcPr>
            <w:tcW w:w="4068" w:type="dxa"/>
          </w:tcPr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новых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-практик в рамках урока и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-обучения как инструмента для поставки учебного контента, ведения совместной работы, совершенствования коммуникаций, применения новых методик обучения – смешанного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Blended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перевёрнутого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FlippedClassroom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распространения подкастов, использование таких форматов организации учебной деятельности, как сквозные событийные трафики, контрольные точки по всем учебным предметам, урок  сетевого взаимодействия (с вузовскими преподавателями и с выпускниками), прокачка умений в чемпионатах,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-урок, проектные офисы,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воспитания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личности, открытой для взаимодействия и общения, творчески исследующей мир, развивающуюся в нем и вместе с ним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C53160">
        <w:tc>
          <w:tcPr>
            <w:tcW w:w="235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общество</w:t>
            </w:r>
          </w:p>
        </w:tc>
        <w:tc>
          <w:tcPr>
            <w:tcW w:w="3838" w:type="dxa"/>
          </w:tcPr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как методы научного познания.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химической технологии на примере получения метанола и аммиака. Химическая грамотность как компонент общей культуры человека. 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Химия в повседневной жизни. Моющие и чистящие средства. Средства личной гигиены и косметики. Правила безопасной работы с едкими, горючими и токсичными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веществами, средствами бытовой химии.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энергетика. Природные источники углеводородов. Природный и попутный нефтяной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 </w:t>
            </w:r>
          </w:p>
        </w:tc>
        <w:tc>
          <w:tcPr>
            <w:tcW w:w="3316" w:type="dxa"/>
          </w:tcPr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</w:tcPr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своему здоровью и потребности в здоровом образе жизни, развитие культуры здорового питания; 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безопасной жизнедеятельности, профилактика наркотической и алкогольной зависимости, табакокурения и других вредных привычек 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и творческого отношения к разным видам трудовой деятельности, включая обучение 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 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уроки-экскурсии (в том числе виртуальные) содействуют профессиональному самоопределению,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приобщению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 значимой деятельности для осмысленного выбора профессии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интернет-флешмобах, в том числе, Всемирного Фонда дикой природы воспитывает чувство ответственности за состояние природных ресурсов и стремление разумного природопользования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ученическая проектная деятельность, поддержка научно-технического творчества детей и изобретательства содействуют повышению привлекательности науки для подрастающего поколения</w:t>
            </w:r>
          </w:p>
          <w:p w:rsidR="00C53160" w:rsidRDefault="0019123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 формата «Что? Где? Когда?»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повышение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заинтересованности подрастающего поколения в научных познаниях об устройстве мира и общества</w:t>
            </w:r>
          </w:p>
          <w:p w:rsidR="00C53160" w:rsidRDefault="00C53160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C53160">
        <w:tc>
          <w:tcPr>
            <w:tcW w:w="9505" w:type="dxa"/>
            <w:gridSpan w:val="3"/>
          </w:tcPr>
          <w:p w:rsidR="00C53160" w:rsidRDefault="0019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68" w:type="dxa"/>
          </w:tcPr>
          <w:p w:rsidR="00C53160" w:rsidRDefault="00C5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часа.</w:t>
            </w:r>
          </w:p>
        </w:tc>
      </w:tr>
    </w:tbl>
    <w:p w:rsidR="00C53160" w:rsidRDefault="00C53160"/>
    <w:p w:rsidR="00C53160" w:rsidRDefault="00C53160"/>
    <w:p w:rsidR="00C53160" w:rsidRDefault="00C53160"/>
    <w:p w:rsidR="00C53160" w:rsidRDefault="00C53160"/>
    <w:p w:rsidR="00C53160" w:rsidRDefault="001912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КАЛЕНДАРНО-ТЕМАТИЧЕСКИЙ ПЛАН</w:t>
      </w:r>
    </w:p>
    <w:p w:rsidR="00C53160" w:rsidRDefault="0019123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11 класс   2021-22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53160" w:rsidRDefault="001912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Учебник: Химия. 11 класс. Габриелян О.С., Остроумов И.Г., Сладков С.А. АО «Издательство «Просвещение» (базовый уровень) </w:t>
      </w:r>
    </w:p>
    <w:p w:rsidR="00C53160" w:rsidRDefault="00C5316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Style w:val="a7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2552"/>
        <w:gridCol w:w="1701"/>
        <w:gridCol w:w="2268"/>
      </w:tblGrid>
      <w:tr w:rsidR="00C53160">
        <w:trPr>
          <w:trHeight w:val="587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2552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C53160">
        <w:trPr>
          <w:trHeight w:val="301"/>
          <w:jc w:val="center"/>
        </w:trPr>
        <w:tc>
          <w:tcPr>
            <w:tcW w:w="14567" w:type="dxa"/>
            <w:gridSpan w:val="6"/>
          </w:tcPr>
          <w:p w:rsidR="00C53160" w:rsidRDefault="0019123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Строение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атома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Вводный инструктаж по правилам безопасного поведения в кабинете химии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представления о строении атома.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протон, электрон, нейтрон, модели строения атома: «пудинг с изюмом», планетарная модель, квантовая модель, изотопы, корпускулярно-волновой дуализм, электронная оболочка атома, электронный слой, атомная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облака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типа, порядок заполнения электронами электронных слоев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формулы атомов, периодический закон в свете учения о строении атома, ПСХЭМ как графическое выражение закона, периоды, группы, подгруппы, номер элемента, их физический смысл, закономерности изменения свойств атомов в периодах и главных подгруппах  Изотопы. Особенности строения электронных оболочек атомов переходных элементов. Благородные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особенность строения их атомов. Катионы.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Анионы.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§1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01.09.-04.09.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Периодическая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система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химических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элементов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 (ПСХЭМ) как графическое выражение закона, периоды, группы, подгруппы, номер элемента, их физический смысл, закономерности изменения свойств атомов в периодах и главных подгруппах   Причины и закономерности изменения свойств элементов и их соединений по периодам и группам. 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§2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06.09.-11.09.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Периодический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закон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открытия периодического закона, классическая и современная формулировки закона, объяснение основ классификации химических элементов Д. И. Менделеева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§3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13.09.-18.09.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Теория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химического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строения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§3,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20.09.-25.09.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Ионная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связь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 как результат электронно-ядерного взаимодействия, правило октета,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особенность строения атомов благородных газов, степень окисления, процессы восстановления и окисления, катионы и анионы,  простые и сложные ионы, ионная связь как связь металлов и неметаллов, схемы образования веществ с ионной связью, ионная кристаллическая решетка, примеры веществ с ионными кристаллическими решетками и их свойства,  отличия характеристик ионной связи от ковалентной: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СВЕРХполярность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НЕнаправленность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§4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27.09.-02.10.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Ковалентная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связь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связь, схемы образования веществ с ковалентной связью, электроотрицательность, полярная и неполярная ковалентные связи, обменный и донорно-акцепторный механизмы образования ковалентной связи, молекулярные и атомные кристаллические решетки, примеры веществ с молекулярными и атомными кристаллическими решетками и их свойства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§5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04.10.-09.10.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Металлическая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связь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атомов металлов, металлическая связь, металлическая кристаллическая решетка, примеры типичных и переходных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металлов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 кристаллической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решеткой и их свойства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§6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11.10.-16.10.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Водородная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связь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связь, механизм образования водородной связи, внутримолекулярная и межмолекулярная водородная связь, биологическая роль водородной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примере молекул белков, ДНК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§7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18.10.-23.10.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Кристаллические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решетки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вещества. Кристаллические и аморфные вещества. Кристалличность как упорядоченность и аморфность как беспорядочность строения твердых веществ, типы кристаллических решеток, немолекулярные вещества, координационное число кристалла, примеры кристаллических и аморфных веществ и их применение, степень кристалличности полимеров</w:t>
            </w:r>
          </w:p>
          <w:p w:rsidR="00C53160" w:rsidRDefault="00C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№1. Описание свойств веществ по типу кристаллической решетки   Первичный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04.11.-06.11.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Полимеры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полимеры, пластмассы, волокна, виды полимеров по происхождению мономера: натуральные, искусственные, синтетические, натуральные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волокна животного,  растительного и минерального происхождения, виды полимеров по их отношению к нагреванию: термопласты,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термореактопласты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полимеризация, поликонденсация, применение пластмасс и волокон</w:t>
            </w:r>
          </w:p>
          <w:p w:rsidR="00C53160" w:rsidRDefault="00C531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160" w:rsidRDefault="0019123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№2. Ознакомление с коллекцией полимеров и изделий из них</w:t>
            </w:r>
          </w:p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§8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08.11.-13.11.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Дисперсные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системы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дисперсные системы, дисперсная фаза и дисперсионная среда, классификация дисперсных систем по размеру частиц дисперсной фазы, эмульсии, суспензии, аэрозоли, гели, коллоидные и истинные растворы, коагуляция,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синерезис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биологическая роль и важнейшие области применения дисперсных систем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№3. Дисперсные системы                                                         Текущий инструктаж на рабочем месте по правилам безопасности при работе в химической лаборатории</w:t>
            </w:r>
          </w:p>
          <w:p w:rsidR="00C53160" w:rsidRDefault="00C531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§9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15.11.-20.11.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Рубежный контроль по теме </w:t>
            </w:r>
            <w:r w:rsidRPr="008107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lastRenderedPageBreak/>
              <w:t>"Строение вещества"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самоконтроля полученных знаний и умений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«Строение вещества»</w:t>
            </w:r>
          </w:p>
          <w:p w:rsidR="00C53160" w:rsidRDefault="00C5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22.11.-27.11.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14567" w:type="dxa"/>
            <w:gridSpan w:val="6"/>
          </w:tcPr>
          <w:p w:rsidR="00C53160" w:rsidRDefault="001912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реакции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и сущность химической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реакции,  виды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химических реакций по числу и составу участников, по числу фаз, по числу направлений реакции, по изменению степени окисления, по изменению теплового запаса реакции, по участию катализатора, аллотропное превращение и изомеризация как химические реакции, закон сохранения массы, правило Бертолле </w:t>
            </w:r>
          </w:p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№4. Реакция замещения меди железом в растворе медного купороса                              Лабораторный опыт №5. Реакция разложения перекиси водорода в присутствии каталазы                              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§10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29.11.-04.12.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Скорость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реакции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 химической реакции, факторы, влияющие на скорость реакции: природа реагирующих веществ, температура, концентрация, площадь соприкосновения фаз, участие катализатора, правило Вант-Гоффа, закон действующих масс,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ингибитор, фермент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§11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06.12-11.12.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равновесие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необратимые и обратимые химические реакции, химическое равновесие, принцип 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факторы, влияющие на сдвиг химического равновесия: температура, концентрация, давление для реакций с участием газов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§12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13.12.-18.12.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Реакции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ионного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обмена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растворение как физико-химический процесс, 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ЭДС, степень диссоциации, сила электролита,  кислоты, основания и соли в свете теории ЭДС, гидратация, реакции ионного обмена в растворах электролитов,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признпки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необратимости реакций ионного обмена: выпадение или растворение осадка, выделение газа, образование воды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§12,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20.12.-25.12.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Гидролиз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гидролиз, необратимый гидролиз, обратимый гидролиз солей, гидролиз по катиону, гидролиз по аниону, гидролиз органических веществ, биологическая роль гидролиза</w:t>
            </w:r>
          </w:p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Лабораторные опыты №6, №7. Гидролиз солей разных типов. 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§13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10.01.-15.01.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Окислительно-восстановительные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реакции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окислитель, восстановитель, ОВР, сущность ОВР как процесса переноса электронов </w:t>
            </w:r>
          </w:p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№8. Взаимодействие цинка с соляной кислотой. 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§14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17.01.-22.01.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Метод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электронного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баланса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составления электронного баланса окислительно-восстановительного процесса как метод расстановки коэффициентов в химических уравнениях ОВР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§14,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24.01.-29.01.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Электролиз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электролиз как окислительно-восстановительный процесс, электрохимический ряд напряжения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металлов,  электродные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процессы, электролиз расплава и водного раствора, применение электролиза в промышленности, гальваностегия, гальванопластика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§15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31.01.-05.02.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Расчеты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химическому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уравнению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стехиометрия количеств вещества и масс химического уравнения, отработка навыков проведения расчетов по химическому уравнению реакции на основе закона сохранения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массы, 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химическому уравнению реакции с недостатком реагента,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примесями в составе реагента, с нестехиометрическим выходом продукта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07.02.-12.02.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Практическая работа №1 "Решение экспериментальных задач по теме "Химическая реакция"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проведение реакций разного типа, анализ наблюдаемых признаков, составление химических уравнений, объясняющих данные признаки, формулирование выводов по результатам протекания реакций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 85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14.02.-19.02.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14567" w:type="dxa"/>
            <w:gridSpan w:val="6"/>
          </w:tcPr>
          <w:p w:rsidR="00C53160" w:rsidRDefault="001912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 и их свойства</w:t>
            </w: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Классификация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неорганических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веществ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простых веществ: металлы, неметаллы, амфотерные вещества; классификация сложных веществ по составу: оксиды, кислоты, основания, соли</w:t>
            </w:r>
          </w:p>
          <w:p w:rsidR="00C53160" w:rsidRDefault="00C53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 123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21.02.-26.02.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Классификация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органических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веществ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классы углеводородов: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алкадиены, арены; основные классы производных углеводородов, содержащих кислород и азот: спирты, альдегиды, карбоновые кислоты, простые и сложные эфиры, амины, аминокислоты.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 124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28.02.-05.03.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Металлы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металлов, металлы – восстановители, коррозия металлов, способы борьбы с коррозией </w:t>
            </w:r>
          </w:p>
          <w:p w:rsidR="00C53160" w:rsidRDefault="0019123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№9. Ознакомление с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коллекцией  металлов</w:t>
            </w:r>
            <w:proofErr w:type="gramEnd"/>
          </w:p>
          <w:p w:rsidR="00C53160" w:rsidRDefault="001912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Текущий инструктаж на рабочем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§16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07.03.-12.03.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Неметаллы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неметаллов как окислителей и как восстановителей, ряд активности неметаллов, примеры наиболее характерных химических реакций</w:t>
            </w:r>
          </w:p>
          <w:p w:rsidR="00C53160" w:rsidRDefault="0019123F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№10. Ознакомление с коллекцией неметаллов</w:t>
            </w:r>
          </w:p>
          <w:p w:rsidR="00C53160" w:rsidRDefault="0019123F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§17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14.03.-19.03.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Оксиды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оксидов, классификация оксидов по составу (оксиды типичных металлов и неметаллов): кислотные и основные оксиды, применение важнейших оксидов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конспект</w:t>
            </w:r>
            <w:proofErr w:type="spellEnd"/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21.03.-23.03.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Кислоты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кислот, классификация кислот по числу ионов водорода и по виду кислотного остатка, кислоты как окислители, качественные реакции на анионы кислот хлорид-, сульфат-, карбонат-, силикат-,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ортофосфат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сульфид-, йодид-, бромид-, области применения важнейших кислот, кислотно-основные индикаторы</w:t>
            </w:r>
          </w:p>
          <w:p w:rsidR="00C53160" w:rsidRDefault="0019123F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Лабораторный опыт №11. Определение кислотности среды при помощи индикаторов       </w:t>
            </w:r>
          </w:p>
          <w:p w:rsidR="00C53160" w:rsidRDefault="0019123F">
            <w:pPr>
              <w:pStyle w:val="aa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Лабораторный опыт №12. Ознакомление с коллекцией кислот</w:t>
            </w:r>
            <w:r>
              <w:rPr>
                <w:rFonts w:ascii="Times New Roman" w:hAnsi="Times New Roman"/>
                <w:i/>
                <w:szCs w:val="24"/>
              </w:rPr>
              <w:t xml:space="preserve">                                       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§18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04.04.-09.04.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Основания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оснований, классификация оснований по растворимости в воде и числу гидроксильных групп, особые свойства нерастворимых оснований и щелочей, области применения важнейших оснований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№13. Свойства нерастворимых и растворимых оснований </w:t>
            </w:r>
          </w:p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Лабораторный опыт №14. Ознакомление с коллекцией оснований                                   Текущий инструктаж на рабочем месте по правилам безопасности при работе в химической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§19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11.04.-16.04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Амфотерные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соединения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амфотерных оксидов и гидроксидов, экспериментальное доказательство амфотерности соединений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§20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18.04.-23.04.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60">
        <w:trPr>
          <w:trHeight w:val="1653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Соли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солей, классификация солей: средние, кислые, основные, двойные, комплексные, кристаллогидраты, области применения важнейших солей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№15.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Ознакомление с коллекцией солей                                  Текущий инструктаж на рабочем месте по правилам при работе в химической безопасности лаборатории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§21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25.04.-30.04.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780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Практическая работа №2 "Решение экспериментальных задач по теме "Вещества и их свойства"</w:t>
            </w:r>
          </w:p>
        </w:tc>
        <w:tc>
          <w:tcPr>
            <w:tcW w:w="3827" w:type="dxa"/>
          </w:tcPr>
          <w:p w:rsidR="00C53160" w:rsidRDefault="001912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генетическая связь химических веществ, генетический ряд металла, генетический ряд неметалла, генетическая связь органических соединений, химическое родство всех веществ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стр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 111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14567" w:type="dxa"/>
            <w:gridSpan w:val="6"/>
          </w:tcPr>
          <w:p w:rsidR="00C53160" w:rsidRDefault="001912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 и общество</w:t>
            </w: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технология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химических процессов и явлений, как методы научного познания.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химической технологии на примере получения метанола и аммиака. 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§22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10.05.-14.05.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0">
        <w:trPr>
          <w:trHeight w:val="325"/>
          <w:jc w:val="center"/>
        </w:trPr>
        <w:tc>
          <w:tcPr>
            <w:tcW w:w="675" w:type="dxa"/>
          </w:tcPr>
          <w:p w:rsidR="00C53160" w:rsidRDefault="00191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Химическая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грамотность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3827" w:type="dxa"/>
          </w:tcPr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грамотность как компонент общей культуры человека. Научные методы познания в химии. Источники химической информации. Поиск информации по названиям, идентификаторам, структурным формулам. 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наркомания). Рациональное питание. Химия в повседневной жизни. Моющие и чистящие средства.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сельское хозяйство. Минеральные и органические удобрения. Средства защиты растений.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и энергетика. Природные источники углеводородов. Природный и попутный нефтяной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C53160" w:rsidRDefault="0019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2552" w:type="dxa"/>
          </w:tcPr>
          <w:p w:rsidR="00C53160" w:rsidRDefault="0019123F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§23</w:t>
            </w:r>
          </w:p>
        </w:tc>
        <w:tc>
          <w:tcPr>
            <w:tcW w:w="1701" w:type="dxa"/>
          </w:tcPr>
          <w:p w:rsidR="00C53160" w:rsidRDefault="00191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2268" w:type="dxa"/>
          </w:tcPr>
          <w:p w:rsidR="00C53160" w:rsidRDefault="00C5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160" w:rsidRDefault="00C53160"/>
    <w:sectPr w:rsidR="00C531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7F4" w:rsidRDefault="00E457F4">
      <w:pPr>
        <w:spacing w:line="240" w:lineRule="auto"/>
      </w:pPr>
      <w:r>
        <w:separator/>
      </w:r>
    </w:p>
  </w:endnote>
  <w:endnote w:type="continuationSeparator" w:id="0">
    <w:p w:rsidR="00E457F4" w:rsidRDefault="00E45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3160" w:rsidRDefault="001912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3160" w:rsidRDefault="0019123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C53160" w:rsidRDefault="0019123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7F4" w:rsidRDefault="00E457F4">
      <w:pPr>
        <w:spacing w:after="0"/>
      </w:pPr>
      <w:r>
        <w:separator/>
      </w:r>
    </w:p>
  </w:footnote>
  <w:footnote w:type="continuationSeparator" w:id="0">
    <w:p w:rsidR="00E457F4" w:rsidRDefault="00E457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3DBFA2"/>
    <w:multiLevelType w:val="singleLevel"/>
    <w:tmpl w:val="BA3DBFA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D2E1124"/>
    <w:multiLevelType w:val="singleLevel"/>
    <w:tmpl w:val="DD2E112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E973BE4"/>
    <w:multiLevelType w:val="multilevel"/>
    <w:tmpl w:val="4E97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22C69"/>
    <w:multiLevelType w:val="multilevel"/>
    <w:tmpl w:val="50022C69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690F2B"/>
    <w:multiLevelType w:val="multilevel"/>
    <w:tmpl w:val="58690F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214C"/>
    <w:multiLevelType w:val="multilevel"/>
    <w:tmpl w:val="601E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6AB0"/>
    <w:multiLevelType w:val="multilevel"/>
    <w:tmpl w:val="676F6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B1"/>
    <w:rsid w:val="000276C7"/>
    <w:rsid w:val="000319F2"/>
    <w:rsid w:val="00085852"/>
    <w:rsid w:val="00095DA9"/>
    <w:rsid w:val="000D3548"/>
    <w:rsid w:val="000D3B1B"/>
    <w:rsid w:val="000E7A08"/>
    <w:rsid w:val="00107301"/>
    <w:rsid w:val="001456E1"/>
    <w:rsid w:val="00164771"/>
    <w:rsid w:val="0019123F"/>
    <w:rsid w:val="001B443F"/>
    <w:rsid w:val="00201D58"/>
    <w:rsid w:val="00202F32"/>
    <w:rsid w:val="002A2D3B"/>
    <w:rsid w:val="002B7717"/>
    <w:rsid w:val="0031749B"/>
    <w:rsid w:val="003262BF"/>
    <w:rsid w:val="00335D2C"/>
    <w:rsid w:val="003A1AD6"/>
    <w:rsid w:val="003D68FE"/>
    <w:rsid w:val="003F3CE7"/>
    <w:rsid w:val="003F7C58"/>
    <w:rsid w:val="00423527"/>
    <w:rsid w:val="0043104E"/>
    <w:rsid w:val="00442579"/>
    <w:rsid w:val="004A0D12"/>
    <w:rsid w:val="004D2B46"/>
    <w:rsid w:val="004F15A1"/>
    <w:rsid w:val="004F2EFD"/>
    <w:rsid w:val="0052025B"/>
    <w:rsid w:val="00561CA9"/>
    <w:rsid w:val="00575252"/>
    <w:rsid w:val="005B5C83"/>
    <w:rsid w:val="005F1AB1"/>
    <w:rsid w:val="0063522E"/>
    <w:rsid w:val="006423A4"/>
    <w:rsid w:val="006E2DFE"/>
    <w:rsid w:val="00741818"/>
    <w:rsid w:val="007563C5"/>
    <w:rsid w:val="0076080D"/>
    <w:rsid w:val="00810780"/>
    <w:rsid w:val="00836927"/>
    <w:rsid w:val="008817EC"/>
    <w:rsid w:val="00885B61"/>
    <w:rsid w:val="008C08A6"/>
    <w:rsid w:val="008D714C"/>
    <w:rsid w:val="008E0E1B"/>
    <w:rsid w:val="008E140A"/>
    <w:rsid w:val="00924337"/>
    <w:rsid w:val="00980D3C"/>
    <w:rsid w:val="00983130"/>
    <w:rsid w:val="009F2D5D"/>
    <w:rsid w:val="00A66951"/>
    <w:rsid w:val="00AB1DC0"/>
    <w:rsid w:val="00AB42ED"/>
    <w:rsid w:val="00AF4708"/>
    <w:rsid w:val="00B44626"/>
    <w:rsid w:val="00B621BB"/>
    <w:rsid w:val="00C32D2A"/>
    <w:rsid w:val="00C53160"/>
    <w:rsid w:val="00C56FD5"/>
    <w:rsid w:val="00C61340"/>
    <w:rsid w:val="00C87858"/>
    <w:rsid w:val="00E017B4"/>
    <w:rsid w:val="00E457F4"/>
    <w:rsid w:val="00E57C75"/>
    <w:rsid w:val="00E83935"/>
    <w:rsid w:val="00EB6A1F"/>
    <w:rsid w:val="00ED3401"/>
    <w:rsid w:val="00ED750E"/>
    <w:rsid w:val="00F1753F"/>
    <w:rsid w:val="00F71881"/>
    <w:rsid w:val="00FB1A36"/>
    <w:rsid w:val="00FD477E"/>
    <w:rsid w:val="00FD748A"/>
    <w:rsid w:val="00FE619A"/>
    <w:rsid w:val="04A0308E"/>
    <w:rsid w:val="0A1A36A2"/>
    <w:rsid w:val="0B117C10"/>
    <w:rsid w:val="0DDB45A7"/>
    <w:rsid w:val="0F0A4A28"/>
    <w:rsid w:val="10382F84"/>
    <w:rsid w:val="13887E78"/>
    <w:rsid w:val="152F4CAF"/>
    <w:rsid w:val="173F2D42"/>
    <w:rsid w:val="176F512A"/>
    <w:rsid w:val="1DF621FF"/>
    <w:rsid w:val="1F7C1C6A"/>
    <w:rsid w:val="1FF04144"/>
    <w:rsid w:val="213B66FD"/>
    <w:rsid w:val="21CA112D"/>
    <w:rsid w:val="23F85DD7"/>
    <w:rsid w:val="26084180"/>
    <w:rsid w:val="35107B3D"/>
    <w:rsid w:val="360D6C99"/>
    <w:rsid w:val="38CF13EE"/>
    <w:rsid w:val="38DA4FFC"/>
    <w:rsid w:val="39E2484E"/>
    <w:rsid w:val="3C1622C9"/>
    <w:rsid w:val="3E233325"/>
    <w:rsid w:val="3E4706EC"/>
    <w:rsid w:val="429D57E8"/>
    <w:rsid w:val="433A5D8C"/>
    <w:rsid w:val="46A90B74"/>
    <w:rsid w:val="498B6AE6"/>
    <w:rsid w:val="4BC65094"/>
    <w:rsid w:val="4D1951AC"/>
    <w:rsid w:val="54546C48"/>
    <w:rsid w:val="5506439A"/>
    <w:rsid w:val="58136194"/>
    <w:rsid w:val="5D690040"/>
    <w:rsid w:val="5DFD7FCF"/>
    <w:rsid w:val="5E8C4DEC"/>
    <w:rsid w:val="629854DA"/>
    <w:rsid w:val="635769D4"/>
    <w:rsid w:val="640D66F6"/>
    <w:rsid w:val="657F01A6"/>
    <w:rsid w:val="692B4CAC"/>
    <w:rsid w:val="69341AE4"/>
    <w:rsid w:val="6E070711"/>
    <w:rsid w:val="7328700F"/>
    <w:rsid w:val="7597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D4A1"/>
  <w15:docId w15:val="{44581733-D542-4FD4-9971-56002115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pPr>
      <w:ind w:left="720"/>
      <w:contextualSpacing/>
    </w:pPr>
  </w:style>
  <w:style w:type="character" w:customStyle="1" w:styleId="a9">
    <w:name w:val="Абзац списка Знак"/>
    <w:link w:val="a8"/>
    <w:qFormat/>
    <w:locked/>
  </w:style>
  <w:style w:type="paragraph" w:customStyle="1" w:styleId="paragraph">
    <w:name w:val="paragraph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8755</Words>
  <Characters>49904</Characters>
  <Application>Microsoft Office Word</Application>
  <DocSecurity>0</DocSecurity>
  <Lines>415</Lines>
  <Paragraphs>117</Paragraphs>
  <ScaleCrop>false</ScaleCrop>
  <Company>Grizli777</Company>
  <LinksUpToDate>false</LinksUpToDate>
  <CharactersWithSpaces>58542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2021-09-09T13:30:00Z</cp:lastPrinted>
  <dcterms:created xsi:type="dcterms:W3CDTF">2021-01-05T18:02:00Z</dcterms:created>
  <dcterms:modified xsi:type="dcterms:W3CDTF">2021-10-26T11:50:00Z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7A0CC20FE7274A1898AA96910A89AB23</vt:lpwstr>
  </property>
</Properties>
</file>