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nos" w:hAnsi="Tinos"/>
        </w:rPr>
      </w:pPr>
      <w:r>
        <w:rPr>
          <w:rFonts w:eastAsia="Times New Roman" w:cs="Times New Roman" w:ascii="Tinos" w:hAnsi="Tinos"/>
          <w:color w:val="auto"/>
          <w:sz w:val="20"/>
          <w:szCs w:val="20"/>
        </w:rPr>
        <w:t>Р</w:t>
      </w:r>
      <w:r>
        <w:rPr>
          <w:rFonts w:eastAsia="Times New Roman" w:ascii="Tinos" w:hAnsi="Tinos"/>
          <w:sz w:val="20"/>
          <w:szCs w:val="20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  <w:lang w:eastAsia="ru-RU"/>
        </w:rPr>
        <w:t>математики и информатики</w:t>
      </w:r>
      <w:r>
        <w:rPr>
          <w:rFonts w:eastAsia="Times New Roman" w:ascii="Tinos" w:hAnsi="Tinos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ascii="Tinos" w:hAnsi="Tinos"/>
          <w:sz w:val="20"/>
          <w:szCs w:val="20"/>
          <w:u w:val="single"/>
        </w:rPr>
        <w:t xml:space="preserve">_________________    </w:t>
      </w:r>
      <w:r>
        <w:rPr>
          <w:rFonts w:eastAsia="Times New Roman" w:ascii="Tinos" w:hAnsi="Tinos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ascii="Tinos" w:hAnsi="Tinos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ascii="Tinos" w:hAnsi="Tinos"/>
          <w:sz w:val="20"/>
          <w:szCs w:val="20"/>
        </w:rPr>
        <w:t xml:space="preserve">протокол от  22.06.2022 № 7  </w:t>
      </w:r>
      <w:r>
        <w:rPr>
          <w:rFonts w:cs="Times New Roman" w:ascii="Tinos" w:hAnsi="Tinos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по математике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ДЛЯ   11  КЛАССА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Составители: методическое объединение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учителей математики и информатики. 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2022 год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ind w:left="330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widowControl w:val="false"/>
        <w:ind w:left="330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Математика — наука о наиболее общих и фундаментальных структурах реального мира, одна из точных наук. Она необходима для успешного решения практических задач: оптимизация семейного бюджета и правильное распределение времени, ориентация в статистической, экономической и логической информации, оценивание рентабельности возможных деловых партнеров и предложений, проведение несложных инженерных и технических расчетов для жизненных задач. 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Предметная область «Математика» обладает огромным воспитательным потенциалом, приучает к продолжительной умственной деятельности. При этом она развивают логическое и математическое мышление. Обучающиеся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Рабочая программа учебного курса «математика» для 10 класса с повышенным уровнем математической подготовки  составлена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ней соблюдается преемственность с рабочей программой основного общего  образования.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Данная рабочая программа составлена для изучения математики по учебникам: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 xml:space="preserve"> </w:t>
      </w:r>
      <w:r>
        <w:rPr/>
        <w:t>Модуль «Алгебра» - Математика: алгебра и начала математического анализа, геометрия. Алгебра и начала математического анализа. 11 класс: учебник для общеобразовательных организаций: базовый и углубленный уровни / Ю.М.Колягин, М.В.Ткачёва, Н.Е.Фёдорова и др.– 8-е изд., стер. М.:Просвещение, 2020;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>
          <w:color w:val="FF0000"/>
        </w:rPr>
        <w:t xml:space="preserve"> </w:t>
      </w:r>
      <w:r>
        <w:rPr/>
        <w:t>Модуль «Геометрия» - Математика: алгебра и начала математического анализа, геометрия. Геометрия. 10-11 классы: учебник для общеобразовательных организаций: базовый и углубленный уровни  /Л.С.Атанасян, В.Ф.Бутузов, С.Б.Кадомцев и др. – 5-е изд., М.:Просвещение, 2018.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Нормативные правовые документы, на основании которых составлена рабочая программа: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contextualSpacing/>
        <w:jc w:val="both"/>
        <w:rPr/>
      </w:pPr>
      <w:r>
        <w:rPr/>
        <w:t xml:space="preserve">Федеральный Закон Российской Федерации от 29.12.2012 № 273-ФЗ </w:t>
      </w:r>
      <w:r>
        <w:rPr>
          <w:spacing w:val="-3"/>
        </w:rPr>
        <w:t xml:space="preserve">«Об </w:t>
      </w:r>
      <w:r>
        <w:rPr/>
        <w:t>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/>
      </w:pPr>
      <w:r>
        <w:rPr/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/>
      </w:pPr>
      <w:r>
        <w:rPr/>
        <w:t>Приказ Министерства образования и науки Российской Федерации от 30.08.2013</w:t>
      </w:r>
      <w:r>
        <w:rPr>
          <w:spacing w:val="-3"/>
        </w:rPr>
        <w:t xml:space="preserve"> </w:t>
      </w:r>
      <w:r>
        <w:rPr/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2"/>
        </w:numPr>
        <w:ind w:left="786" w:hanging="360"/>
        <w:jc w:val="both"/>
        <w:rPr/>
      </w:pPr>
      <w:r>
        <w:rPr/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ind w:left="786" w:hanging="360"/>
        <w:jc w:val="both"/>
        <w:rPr/>
      </w:pPr>
      <w:r>
        <w:rPr/>
        <w:t xml:space="preserve">Закон Санкт-Петербурга от 17.07.2013 № 461-83 </w:t>
      </w:r>
      <w:r>
        <w:rPr>
          <w:spacing w:val="-3"/>
        </w:rPr>
        <w:t xml:space="preserve">«Об </w:t>
      </w:r>
      <w:r>
        <w:rPr/>
        <w:t>образовании в Санкт-Петербурге» с изменениями на 09.08.2021 г.;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 xml:space="preserve">Распоряжение Комитета по образованию Правительства Санкт-Петербурга от 12.04.2021 № 1013-р </w:t>
      </w:r>
      <w:r>
        <w:rPr>
          <w:spacing w:val="-4"/>
        </w:rPr>
        <w:t xml:space="preserve">«О </w:t>
      </w:r>
      <w:r>
        <w:rPr/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Распоряжение Комитета по образованию Правительства Санкт-Петербурга от 09.04.2021 № 997-р «</w:t>
      </w:r>
      <w:r>
        <w:rPr>
          <w:color w:val="000000"/>
          <w:shd w:fill="FFFFFF" w:val="clear"/>
        </w:rPr>
        <w:t>О формировании учебных планов государственных образовательных учреждений Санкт-Петербурга, реализующих основные общеобразовательные программы, на 2022/2023 учебный год»</w:t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 xml:space="preserve">Примерная основная образовательная программа среднего общего образования, одобрена </w:t>
      </w:r>
      <w:r>
        <w:rPr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ind w:left="786" w:hanging="360"/>
        <w:jc w:val="both"/>
        <w:rPr/>
      </w:pPr>
      <w:r>
        <w:rPr/>
        <w:t xml:space="preserve">Программа воспитания ГБОУ «Морская школа» Московского района Санкт — Петербурга. </w:t>
      </w:r>
    </w:p>
    <w:p>
      <w:pPr>
        <w:pStyle w:val="Normal"/>
        <w:tabs>
          <w:tab w:val="clear" w:pos="709"/>
          <w:tab w:val="left" w:pos="0" w:leader="none"/>
          <w:tab w:val="left" w:pos="993" w:leader="none"/>
        </w:tabs>
        <w:spacing w:before="0" w:after="20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</w:rPr>
        <w:t>Общая характеристика учебного предмета</w:t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– с интеллектуальным развитием человека, формированием характера и общей культуры.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Без конкретных знаний по математике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Изучение данного курса завершает формирование </w:t>
      </w:r>
      <w:r>
        <w:rPr>
          <w:rFonts w:cs="Times New Roman" w:ascii="Times New Roman" w:hAnsi="Times New Roman"/>
          <w:b/>
          <w:i/>
        </w:rPr>
        <w:t xml:space="preserve">ценностно-смысловых установок и ориентаций </w:t>
      </w:r>
      <w:r>
        <w:rPr>
          <w:rFonts w:cs="Times New Roman" w:ascii="Times New Roman" w:hAnsi="Times New Roman"/>
        </w:rPr>
        <w:t>обучающихся в отношении математических знаний и проблем их восприятия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Математике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Обучение математике даёт возможность развивать у обучающихся точную, лаконичную и информативную речь, умение отбирать наиболее подходящие языковые средства(в частности, символические, графические), т. е. способствует формированию </w:t>
      </w:r>
      <w:r>
        <w:rPr>
          <w:rFonts w:cs="Times New Roman" w:ascii="Times New Roman" w:hAnsi="Times New Roman"/>
          <w:b/>
          <w:i/>
        </w:rPr>
        <w:t>коммуникативной культуры</w:t>
      </w:r>
      <w:r>
        <w:rPr>
          <w:rFonts w:cs="Times New Roman" w:ascii="Times New Roman" w:hAnsi="Times New Roman"/>
        </w:rPr>
        <w:t xml:space="preserve">, в том числе умению ясно, логично, точно и последовательно излагать свою точку зрения, использовать языковые средства, адекватные обсуждаемой проблеме.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Дальнейшее развитие приобретают и </w:t>
      </w:r>
      <w:r>
        <w:rPr>
          <w:rFonts w:cs="Times New Roman" w:ascii="Times New Roman" w:hAnsi="Times New Roman"/>
          <w:b/>
          <w:i/>
        </w:rPr>
        <w:t>познавательные действия</w:t>
      </w:r>
      <w:r>
        <w:rPr>
          <w:rFonts w:cs="Times New Roman" w:ascii="Times New Roman" w:hAnsi="Times New Roman"/>
        </w:rPr>
        <w:t xml:space="preserve">. Глубже осознаются основные особенности математики как формы человеческого познания, научного метода познания природы, а также возможные сферы и границы её применения.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</w:t>
      </w:r>
      <w:r>
        <w:rPr>
          <w:rFonts w:cs="Times New Roman" w:ascii="Times New Roman" w:hAnsi="Times New Roman"/>
          <w:b/>
          <w:i/>
        </w:rPr>
        <w:t>эстетическому воспитанию</w:t>
      </w:r>
      <w:r>
        <w:rPr>
          <w:rFonts w:cs="Times New Roman" w:ascii="Times New Roman" w:hAnsi="Times New Roman"/>
        </w:rPr>
        <w:t xml:space="preserve"> человека, пониманию красоты и изящества математических рассуждений.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</w:t>
      </w:r>
      <w:r>
        <w:rPr>
          <w:rFonts w:cs="Times New Roman" w:ascii="Times New Roman" w:hAnsi="Times New Roman"/>
          <w:b/>
          <w:i/>
        </w:rPr>
        <w:t>информационно-поисковой деятельности</w:t>
      </w:r>
      <w:r>
        <w:rPr>
          <w:rFonts w:cs="Times New Roman" w:ascii="Times New Roman" w:hAnsi="Times New Roman"/>
        </w:rPr>
        <w:t xml:space="preserve">: самостоятельному отбору источников информации в соответствии с поставленными целями и задачами. Обучающиеся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r>
        <w:rPr>
          <w:rFonts w:cs="Times New Roman" w:ascii="Times New Roman" w:hAnsi="Times New Roman"/>
          <w:b/>
          <w:i/>
        </w:rPr>
        <w:t>ИКТ-компетентности</w:t>
      </w:r>
      <w:r>
        <w:rPr>
          <w:rFonts w:cs="Times New Roman" w:ascii="Times New Roman" w:hAnsi="Times New Roman"/>
        </w:rPr>
        <w:t xml:space="preserve"> обучающихся.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Получит дальнейшее развитие способность к </w:t>
      </w:r>
      <w:r>
        <w:rPr>
          <w:rFonts w:cs="Times New Roman" w:ascii="Times New Roman" w:hAnsi="Times New Roman"/>
          <w:b/>
          <w:i/>
        </w:rPr>
        <w:t>самоорганизации и саморегуляции</w:t>
      </w:r>
      <w:r>
        <w:rPr>
          <w:rFonts w:cs="Times New Roman" w:ascii="Times New Roman" w:hAnsi="Times New Roman"/>
        </w:rPr>
        <w:t xml:space="preserve">. Обучающиеся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</w:t>
      </w:r>
      <w:r>
        <w:rPr>
          <w:rFonts w:cs="Times New Roman" w:ascii="Times New Roman" w:hAnsi="Times New Roman"/>
          <w:b/>
          <w:i/>
        </w:rPr>
        <w:t xml:space="preserve">научности и фундаментальности, историзма, доступности и непрерывности, целостности и системности </w:t>
      </w:r>
      <w:r>
        <w:rPr>
          <w:rFonts w:cs="Times New Roman" w:ascii="Times New Roman" w:hAnsi="Times New Roman"/>
        </w:rPr>
        <w:t xml:space="preserve">математического образования, его </w:t>
      </w:r>
      <w:r>
        <w:rPr>
          <w:rFonts w:cs="Times New Roman" w:ascii="Times New Roman" w:hAnsi="Times New Roman"/>
          <w:b/>
          <w:i/>
        </w:rPr>
        <w:t xml:space="preserve">связи с техникой, технологией, жизнью.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Содержание данного курса включает следующие разделы: «Алгебра», «Математический анализ», «Вероятность и статистика», «Геометрия».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учащихся, более, чем на строгие определения. Тем не менее знакомство с этим материалом даёт представление учащимся об общих идеях и методах математической науки.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комбинаторики.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При изучении курса математики продолжает и получает развитие содержательная линия «Геометрия». В рамках указанной содержательной линии решается следующая задача: </w:t>
      </w:r>
      <w:r>
        <w:rPr>
          <w:rFonts w:eastAsia="Times New Roman" w:cs="Times New Roman" w:ascii="Times New Roman" w:hAnsi="Times New Roman"/>
        </w:rPr>
        <w:t>развитие у учащихся пространственного воображения и логического мышления путем систематического изучения свойств геометрических фигур 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изучения предмета «Математика» (интегрированный курс) в 11 классе с повышенным уровнем математической подготовки отводится 6 учебных часов в неделю, 204 учебных часа за год. На изучение «Алгебры и начал математического анализа» отводится 4 учебных часа в неделю, 136 учебных часов за год (34 учебные недели). На изучение «Геометрии» отводится 2 учебных часа в неделю, 68 учебных часов за год (34 учебные недели).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Default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Default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Default"/>
        <w:ind w:firstLine="708"/>
        <w:jc w:val="center"/>
        <w:rPr>
          <w:b/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«Математика: алгебра и начала математического анализа, геометрия»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Изучение математики в старшей школе даёт возможность достижения обучающимися следующих результатов. 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Личностные: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эстетическое отношение к миру, включая эстетику быта, научного и технического творчества;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  <w:b/>
          <w:i/>
        </w:rPr>
        <w:t>Метапредметные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  <w:b/>
          <w:i/>
        </w:rPr>
        <w:t>Предметные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владение  стандартными  приёмами  решения  рациональных  и 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представлений об основных понятиях, идеях и методах математического анализа;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владение  основными понятиями  о  плоских 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владение навыками использования готовых компьютерных программ при решении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ТЕМАТИЧЕСКОЕ ПЛАНИРОВАНИЕ УЧЕБНОГО МАТЕРИАЛА, в том числе с учётом рабочей программы воспитания, с указанием количества часов, отводимых на освоение каждой темы (136+68 часов)</w:t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</w:t>
      </w:r>
      <w:r>
        <w:rPr>
          <w:rFonts w:cs="Times New Roman" w:ascii="Times New Roman" w:hAnsi="Times New Roman"/>
          <w:b/>
        </w:rPr>
        <w:t>Содержательная линия «Алгебра и начала математического анализа»</w:t>
      </w:r>
    </w:p>
    <w:tbl>
      <w:tblPr>
        <w:tblStyle w:val="ae"/>
        <w:tblW w:w="1020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4"/>
        <w:gridCol w:w="2839"/>
        <w:gridCol w:w="989"/>
        <w:gridCol w:w="1421"/>
        <w:gridCol w:w="4395"/>
      </w:tblGrid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Тема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часов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контрольных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работ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Повторение курса алгебры и начал анализа 10 класса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к/р «исходный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уровень»</w:t>
            </w:r>
          </w:p>
        </w:tc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CharAttribute501"/>
                <w:rFonts w:eastAsia="№Е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-установление доверительных отношений между учителем и его учениками, способствующих</w:t>
            </w:r>
            <w:r>
              <w:rPr>
                <w:rStyle w:val="Style12"/>
                <w:rFonts w:eastAsia="№Е"/>
                <w:i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активизации их познавательной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-побуждение школьников соблюдать на уроке общепринятые нормы поведения,</w:t>
            </w:r>
            <w:r>
              <w:rPr>
                <w:rStyle w:val="Style12"/>
                <w:rFonts w:eastAsia="№Е"/>
                <w:i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принципы учебной дисциплины и самоорганизации;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131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 xml:space="preserve">-применение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учат школьников командной работе и взаимодействию с другими детьми;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1310" w:leader="none"/>
              </w:tabs>
              <w:suppressAutoHyphens w:val="true"/>
              <w:spacing w:before="0" w:after="0"/>
              <w:jc w:val="left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  <w:u w:val="none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-поддержка исследовательской деятельности школьников в рамках реализации ими индивидуальных и групповых исследовательских проектов, это позволяет школьникам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Тригонометрические функции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Производная и её геометрический смысл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Применение производной к исследованию функций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Первообразная и интеграл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Комбинаторика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Элементы теории вероятностей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Комплексные числа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Уравнения и неравенства с двумя переменными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Итоговое повторение курса алгебры и начал анализа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работа в формате ЕГЭ</w:t>
            </w:r>
          </w:p>
        </w:tc>
        <w:tc>
          <w:tcPr>
            <w:tcW w:w="439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</w:t>
      </w:r>
      <w:r>
        <w:rPr>
          <w:rFonts w:cs="Times New Roman" w:ascii="Times New Roman" w:hAnsi="Times New Roman"/>
          <w:b/>
        </w:rPr>
        <w:t>Содержательная линия «Геометрия»</w:t>
      </w:r>
    </w:p>
    <w:tbl>
      <w:tblPr>
        <w:tblStyle w:val="ae"/>
        <w:tblW w:w="1020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4"/>
        <w:gridCol w:w="2839"/>
        <w:gridCol w:w="989"/>
        <w:gridCol w:w="1421"/>
        <w:gridCol w:w="4395"/>
      </w:tblGrid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Тема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часов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контрольных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работ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Векторы в пространстве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Зачёт по теме</w:t>
            </w:r>
          </w:p>
        </w:tc>
        <w:tc>
          <w:tcPr>
            <w:tcW w:w="439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CharAttribute501"/>
                <w:rFonts w:eastAsia="№Е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-установление доверительных отношений между учителем и его учениками, способствующих</w:t>
            </w:r>
            <w:r>
              <w:rPr>
                <w:rStyle w:val="Style12"/>
                <w:rFonts w:eastAsia="№Е"/>
                <w:i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активизации их познавательной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-побуждение школьников соблюдать на уроке общепринятые нормы поведения,</w:t>
            </w:r>
            <w:r>
              <w:rPr>
                <w:rStyle w:val="Style12"/>
                <w:rFonts w:eastAsia="№Е"/>
                <w:i/>
                <w:kern w:val="0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принципы учебной дисциплины и самоорганизации;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131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 xml:space="preserve">-применение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учат школьников командной работе и взаимодействию с другими детьми;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  <w:tab w:val="left" w:pos="1310" w:leader="none"/>
              </w:tabs>
              <w:suppressAutoHyphens w:val="true"/>
              <w:spacing w:before="0" w:after="0"/>
              <w:jc w:val="left"/>
              <w:rPr>
                <w:rStyle w:val="CharAttribute501"/>
                <w:rFonts w:eastAsia="№Е" w:cs="Times New Roman"/>
                <w:i w:val="false"/>
                <w:i w:val="false"/>
                <w:sz w:val="18"/>
                <w:szCs w:val="18"/>
                <w:u w:val="none"/>
              </w:rPr>
            </w:pPr>
            <w:r>
              <w:rPr>
                <w:rStyle w:val="CharAttribute501"/>
                <w:rFonts w:eastAsia="№Е" w:cs="Times New Roman"/>
                <w:i w:val="false"/>
                <w:kern w:val="0"/>
                <w:sz w:val="18"/>
                <w:szCs w:val="18"/>
                <w:u w:val="none"/>
                <w:lang w:val="ru-RU" w:bidi="ar-SA"/>
              </w:rPr>
              <w:t>-поддержка исследовательской деятельности школьников в рамках реализации ими индивидуальных и групповых исследовательских проектов, это позволяет школьникам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Метод координат в пространстве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Цилиндр, конус и шар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Объёмы тел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83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Заключительное повторение</w:t>
            </w:r>
          </w:p>
        </w:tc>
        <w:tc>
          <w:tcPr>
            <w:tcW w:w="98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42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39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851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HiddenHorzOCR" w:cs="Times New Roman"/>
                <w:sz w:val="18"/>
                <w:szCs w:val="18"/>
              </w:rPr>
            </w:pPr>
            <w:r>
              <w:rPr>
                <w:rFonts w:eastAsia="HiddenHorzOCR"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widowControl w:val="false"/>
        <w:tabs>
          <w:tab w:val="left" w:pos="709" w:leader="none"/>
          <w:tab w:val="left" w:pos="851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HiddenHorzOCR" w:cs="Times New Roman"/>
        </w:rPr>
      </w:pPr>
      <w:r>
        <w:rPr>
          <w:rFonts w:eastAsia="HiddenHorzOCR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курса математики 11 класса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</w:t>
      </w:r>
      <w:r>
        <w:rPr>
          <w:rFonts w:cs="Times New Roman" w:ascii="Times New Roman" w:hAnsi="Times New Roman"/>
          <w:b/>
        </w:rPr>
        <w:t>Содержательная линия «Алгебра и начала математического анализа»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4"/>
        </w:numPr>
        <w:jc w:val="both"/>
        <w:rPr>
          <w:b/>
          <w:b/>
        </w:rPr>
      </w:pPr>
      <w:r>
        <w:rPr>
          <w:b/>
        </w:rPr>
        <w:t xml:space="preserve">Тригонометрические функции. </w:t>
      </w:r>
    </w:p>
    <w:p>
      <w:pPr>
        <w:pStyle w:val="Normal"/>
        <w:ind w:left="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 xml:space="preserve">Область определения и множество значений функций. </w:t>
      </w:r>
    </w:p>
    <w:p>
      <w:pPr>
        <w:pStyle w:val="Normal"/>
        <w:ind w:left="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Четность, нечетность, периодичность тригонометрических функций.</w:t>
      </w:r>
    </w:p>
    <w:p>
      <w:pPr>
        <w:pStyle w:val="Normal"/>
        <w:ind w:left="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Свойство функции у=со</w:t>
      </w:r>
      <w:r>
        <w:rPr>
          <w:rFonts w:ascii="Times New Roman" w:hAnsi="Times New Roman"/>
          <w:lang w:val="en-US"/>
        </w:rPr>
        <w:t>sx</w:t>
      </w:r>
      <w:r>
        <w:rPr>
          <w:rFonts w:ascii="Times New Roman" w:hAnsi="Times New Roman"/>
        </w:rPr>
        <w:t xml:space="preserve"> и ее график.</w:t>
      </w:r>
    </w:p>
    <w:p>
      <w:pPr>
        <w:pStyle w:val="Normal"/>
        <w:ind w:left="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Свойство функции у= </w:t>
      </w:r>
      <w:r>
        <w:rPr>
          <w:rFonts w:ascii="Times New Roman" w:hAnsi="Times New Roman"/>
          <w:lang w:val="en-US"/>
        </w:rPr>
        <w:t>sinx</w:t>
      </w:r>
      <w:r>
        <w:rPr>
          <w:rFonts w:ascii="Times New Roman" w:hAnsi="Times New Roman"/>
        </w:rPr>
        <w:t xml:space="preserve"> и ее график. </w:t>
      </w:r>
    </w:p>
    <w:p>
      <w:pPr>
        <w:pStyle w:val="Normal"/>
        <w:ind w:left="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Свойства и графики  функций у=</w:t>
      </w:r>
      <w:r>
        <w:rPr>
          <w:rFonts w:ascii="Times New Roman" w:hAnsi="Times New Roman"/>
          <w:lang w:val="en-US"/>
        </w:rPr>
        <w:t>tgx</w:t>
      </w:r>
      <w:r>
        <w:rPr>
          <w:rFonts w:ascii="Times New Roman" w:hAnsi="Times New Roman"/>
        </w:rPr>
        <w:t xml:space="preserve"> и у=</w:t>
      </w:r>
      <w:r>
        <w:rPr>
          <w:rFonts w:ascii="Times New Roman" w:hAnsi="Times New Roman"/>
          <w:lang w:val="en-US"/>
        </w:rPr>
        <w:t>ctgx</w:t>
      </w:r>
      <w:r>
        <w:rPr>
          <w:rFonts w:ascii="Times New Roman" w:hAnsi="Times New Roman"/>
        </w:rPr>
        <w:t>.</w:t>
      </w:r>
    </w:p>
    <w:p>
      <w:pPr>
        <w:pStyle w:val="Normal"/>
        <w:ind w:left="60" w:hanging="0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Обратные тригонометрические функции.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Глава содержит материал, который поможет обучающимся глубже понять применение математических методов в задачах физики и геометрии.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— изучение свойств тригонометрических функций; обучение построению графиков тригонометрических функций. </w:t>
      </w:r>
      <w:r>
        <w:rPr>
          <w:rFonts w:cs="Times New Roman" w:ascii="Times New Roman" w:hAnsi="Times New Roman"/>
        </w:rPr>
        <w:t xml:space="preserve">К свойствам функции, известным обучающимся в связи с изучением тригонометрических функций, добавляется свойство периодичности, оно позволяет строить графики тригонометрических функций в два этапа: сначала на отрезке (или интервале), равном по длине периоду функции, а затем — на всей числовой прямой. Свойства каждой конкретной тригонометрической функции формулируются с опорой на графическую иллюстрацию. Важным является навык построения графиков тригонометрических функций, полученных в результате сдвигов и сжатий (растяжений) вдоль координатных осей. Особое внимание уделяется решению тригонометрических неравенств.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>2. Производная и её геометрический смысл.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ind w:left="4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Производная. </w:t>
      </w:r>
    </w:p>
    <w:p>
      <w:pPr>
        <w:pStyle w:val="NoSpacing"/>
        <w:ind w:left="4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Производная степенной функции. </w:t>
      </w:r>
    </w:p>
    <w:p>
      <w:pPr>
        <w:pStyle w:val="NoSpacing"/>
        <w:ind w:left="4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Правила дифференцирования.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Производные некоторых элементарных функций. </w:t>
      </w:r>
    </w:p>
    <w:p>
      <w:pPr>
        <w:pStyle w:val="NoSpacing"/>
        <w:ind w:left="4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Геометрический смысл производной.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Содержание разделов курса, составляющих начала математического анализа, трудно для изучения в средней школе. Поэтому их изложение ведется на наглядно-интуитивном уровне: многие формулы не доказываются, а только поясняются или принимаются без доказательств. 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— формирование понятия производной; обучение нахождению производных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предел разностного отношения. Закреплению понятия производной способствует вывод производных отдельных функций «по определению» и отрабатывается навык нахождения производной сложной функции. 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Применение производной к исследованию функций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Spacing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Возрастание и убывание функции.</w:t>
      </w:r>
    </w:p>
    <w:p>
      <w:pPr>
        <w:pStyle w:val="NoSpacing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Экстремумы функции. </w:t>
      </w:r>
    </w:p>
    <w:p>
      <w:pPr>
        <w:pStyle w:val="NoSpacing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Применение производной к построению графиков функций. </w:t>
      </w:r>
    </w:p>
    <w:p>
      <w:pPr>
        <w:pStyle w:val="NoSpacing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Наибольшее и наименьшее значение функции. </w:t>
      </w:r>
    </w:p>
    <w:p>
      <w:pPr>
        <w:pStyle w:val="NoSpacing"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Выпуклость графика функций, точки перегиба.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— демонстрация возможностей производной в исследовании свойств функций и построении их графиков, применение производной к решению прикладных задач на оптимизацию. Содержание прикладного аспекта в нахождении наибольшего и наименьшего значений функции на отрезке или интервале (при решении геометрических и физических задач) соответствует целям  обучения в профильном классе.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</w:rPr>
        <w:t>Первообразная и интеграл.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Первообразная.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Правила нахождения первообразных.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Площадь криволинейной трапеции и интеграл.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Вычисление интегралов.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Вычисление площадей фигур с помощью интегралов.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Применение производной интеграла к решению практических задач.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</w:rPr>
        <w:t>Основная цель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</w:rPr>
        <w:t>— ознакомление обучающихся с понятием первообразной, обучение нахождению площадей криволинейных трапеций.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Большое внимание  уделяется  приложениям интегрального исчисления к физическим и геометрическим задачам.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Комбинаторика.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Правило произведения.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Перестановки.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Размещения.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Сочетания и их свойства.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Бином Ньютона.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Тема не насыщена теоретическими сведениями и доказательствами, она имеет прежде всего общекультурное и общеобразовательное значение.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  <w:i/>
        </w:rPr>
        <w:t xml:space="preserve">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— ознакомление с основными формулами комбинаторики и их применением при решении задач; формирование элементов комбинаторного мышления, формирование умения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 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 xml:space="preserve">Основой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Элементы теории вероятности.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События.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Комбинация событий.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Противоположное событие.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Вероятность события.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Сложение вероятностей.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Независимые события.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Умножение вероятностей.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Статистическая вероятность.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  <w:bCs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Cs/>
        </w:rPr>
        <w:t>– 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</w:t>
      </w:r>
      <w:r>
        <w:rPr>
          <w:rFonts w:eastAsia="Times New Roman" w:cs="Times New Roman" w:ascii="Times New Roman" w:hAnsi="Times New Roman"/>
        </w:rPr>
        <w:t xml:space="preserve">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подбрасыванием монеты. Предполагается организация реальных экспериментов или компьютерных  с целью установления того факта, что при увеличении числа экспериментов (например, при подбрасывании монеты или кости) относительная частота рассматриваемого события «все более приближается» к некоторому числу, являющемуся вероятностью события. Такая работа поможет осознать и понятие элементарного события.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7.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Комплексные числа.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Комплексные числа.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Сложение и умножение комплексных чисел.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Комплексно сопряженные числа.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Модуль комплексного числа.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Операции вычитания и деления.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Геометрическая интерпретация комплексного числа.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Тригонометрическая форма комплексного числа.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Умножение и деление комплексных чисел, записанных в тригонометрической форме.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Формула Муавра.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Квадратное уравнение с комплексным неизвестным. </w:t>
      </w:r>
    </w:p>
    <w:p>
      <w:pPr>
        <w:pStyle w:val="Normal"/>
        <w:tabs>
          <w:tab w:val="clear" w:pos="709"/>
          <w:tab w:val="left" w:pos="1905" w:leader="none"/>
          <w:tab w:val="left" w:pos="64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Извлечение корня из комплексного числа. Алгебраические уравнения.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Тема изучается для расширения представления обучающихся о числе, и возможности решения алгебраических уравнений вида </w:t>
      </w:r>
      <w:r>
        <w:rPr>
          <w:rFonts w:cs="Times New Roman" w:ascii="Times New Roman" w:hAnsi="Times New Roman"/>
          <w:i/>
        </w:rPr>
        <w:t>х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 + 1 = 0. Геометрическая интерпретация комплексного числа поможет обучающимся понять его важную роль в физике и других областях науки и техники, где приходится оперировать величинами, которые можно представить в виде вектора. 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 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Уравнения и неравенства с двумя переменными.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</w:rPr>
        <w:t>Линейные уравнения и неравенства с двумя переменными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Нелинейные уравнения и неравенства с двумя переменными.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— обобщить  основные приемы решения уравнений и систем уравнений, научить обучающихся изображать на координатной плоскости множество решений линейных неравенств и систем линейных неравенств с двумя переменными, рассмотреть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 xml:space="preserve">Итоговое повторение курса алгебры.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Уроки итогового повторения имеют своей </w:t>
      </w:r>
      <w:r>
        <w:rPr>
          <w:rFonts w:cs="Times New Roman" w:ascii="Times New Roman" w:hAnsi="Times New Roman"/>
          <w:b/>
        </w:rPr>
        <w:t xml:space="preserve">целью </w:t>
      </w:r>
      <w:r>
        <w:rPr>
          <w:rFonts w:cs="Times New Roman" w:ascii="Times New Roman" w:hAnsi="Times New Roman"/>
        </w:rPr>
        <w:t xml:space="preserve">не только восстановление в памяти обучающихся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  <w:i/>
        </w:rPr>
        <w:t>В результате обобщающего повторения</w:t>
      </w:r>
      <w:r>
        <w:rPr>
          <w:rFonts w:cs="Times New Roman" w:ascii="Times New Roman" w:hAnsi="Times New Roman"/>
        </w:rPr>
        <w:t xml:space="preserve"> курса алгебры и начала анализа за 11 класс создать условия обучающимся для выявления: 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владения понятием степени с рациональным показателем, умение выполнять тождественные преобразования и находить их значения;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умения выполнять тождественные преобразования тригонометрических, иррациональных, показательных, логарифмических выражений;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умения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свойств функции;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умения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  неравенств (графический метод); 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умения находить производную функции; множество значений функции; область определения сложной функции; использовать четность и нечетность функции; 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умения решать и проводить исследование решения текстовых задач на нахождение наибольшего (наименьшего) значения величины с применением производной; умения решать задачи параметрические на оптимизацию;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умения решать комбинированные уравнения и неравенства; использовать несколько приемов при решении уравнений и неравенств;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умения решать неравенства с параметром; использовать график функции при решении  неравенств с параметром (графический метод); </w:t>
      </w:r>
    </w:p>
    <w:p>
      <w:pPr>
        <w:pStyle w:val="Normal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умения извлекать необходимую информацию из учебно-научных текстов; привести примеры, подобрать аргументы, сформулировать выводы;  составлять текст научного стиля. 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</w:rPr>
        <w:t xml:space="preserve">                                       </w:t>
      </w:r>
      <w:r>
        <w:rPr>
          <w:rFonts w:cs="Times New Roman" w:ascii="Times New Roman" w:hAnsi="Times New Roman"/>
          <w:b/>
        </w:rPr>
        <w:t>Содержательная линия «Геометрия»</w:t>
      </w:r>
    </w:p>
    <w:p>
      <w:pPr>
        <w:pStyle w:val="Normal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1.Векторы в пространстве. Метод координат в пространстве.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>
      <w:pPr>
        <w:pStyle w:val="Normal"/>
        <w:shd w:val="clear" w:color="auto" w:fill="FFFFFF"/>
        <w:ind w:right="-36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 xml:space="preserve">введение понятие прямоугольной системы координат в пространстве; знакомство с координатно-векторным методом  решения задач; сформировать у обучающихся умения применять координатный и векторный методы к решению задач на нахождение длин отрезков и углов между прямыми и векторами в пространстве. </w:t>
      </w:r>
    </w:p>
    <w:p>
      <w:pPr>
        <w:pStyle w:val="Normal"/>
        <w:shd w:val="clear" w:color="auto" w:fill="FFFFFF"/>
        <w:ind w:right="-36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ходе изучения темы целесообразно использовать анало</w:t>
        <w:softHyphen/>
        <w:t>гию между рассматриваемыми понятиями на плоскости и в пространстве. Это поможет обучающимся более глубоко и осоз</w:t>
        <w:softHyphen/>
        <w:t>нанно усвоить изучаемый материал, уяснить содержание и место векторного и координатного методов в курсе геомет</w:t>
        <w:softHyphen/>
        <w:t>рии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3.Цилиндр, конус, шар.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Площадь поверхности многогранника, цилиндра, конуса, усеченного конуса.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>сформировать представления обучающихся о круглых телах, изучить случаи их взаимного расположения, научить изображать вписанные и описанные фигуры.</w:t>
      </w:r>
    </w:p>
    <w:p>
      <w:pPr>
        <w:pStyle w:val="Normal"/>
        <w:shd w:val="clear" w:color="auto" w:fill="FFFFFF"/>
        <w:ind w:right="-36" w:firstLine="5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 ходе знакомства с теоретическим материалом темы зна</w:t>
        <w:softHyphen/>
        <w:t>чительно развиваются пространственные представления обуча</w:t>
        <w:softHyphen/>
        <w:t>ющихся: круглые тела рассматривать на примере конкретных геометрических тел, изучать взаимное расположение круг</w:t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  <w:softHyphen/>
        <w:t>должить работу по  формированию логических и графических умений.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обучающиеся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обучающихся могут служить задачи на комбинации многогранников и фигур вращения.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Объемы тел.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шара и его частей.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</w:rPr>
        <w:t>сформировать представления обучающихся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Изучение объемов обобщает и систематизирует материал планиметрии о площадях плоских фигур. Понятие объема можно  вводить по анало</w:t>
        <w:softHyphen/>
        <w:t>гии с понятием площади плоской фигуры и формулировать основные свойства объемов.</w:t>
      </w:r>
    </w:p>
    <w:p>
      <w:pPr>
        <w:pStyle w:val="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</w:t>
        <w:softHyphen/>
        <w:t>ным разделам высшей математики. Поэтому нужные результа</w:t>
        <w:softHyphen/>
        <w:t>ты устанавливать, руководствуясь больше наглядными со</w:t>
        <w:softHyphen/>
        <w:t>ображениями. Учебный материал главы в основном должен усвоиться в процессе решения задач.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>
      <w:pPr>
        <w:pStyle w:val="Normal"/>
        <w:shd w:val="clear" w:color="auto" w:fill="FFFFFF"/>
        <w:ind w:firstLine="540"/>
        <w:jc w:val="both"/>
        <w:rPr>
          <w:rFonts w:ascii="Times New Roman" w:hAnsi="Times New Roman" w:cs="Times New Roman"/>
          <w:b/>
          <w:b/>
          <w:spacing w:val="-2"/>
        </w:rPr>
      </w:pPr>
      <w:r>
        <w:rPr>
          <w:rFonts w:cs="Times New Roman" w:ascii="Times New Roman" w:hAnsi="Times New Roman"/>
          <w:b/>
          <w:spacing w:val="-2"/>
        </w:rPr>
        <w:t>Повторение.</w:t>
      </w:r>
    </w:p>
    <w:p>
      <w:pPr>
        <w:pStyle w:val="Normal"/>
        <w:shd w:val="clear" w:color="auto" w:fill="FFFFFF"/>
        <w:ind w:firstLine="540"/>
        <w:jc w:val="both"/>
        <w:rPr>
          <w:rFonts w:ascii="Times New Roman" w:hAnsi="Times New Roman" w:cs="Times New Roman"/>
          <w:spacing w:val="-2"/>
        </w:rPr>
      </w:pPr>
      <w:r>
        <w:rPr>
          <w:rFonts w:cs="Times New Roman" w:ascii="Times New Roman" w:hAnsi="Times New Roman"/>
          <w:b/>
          <w:i/>
        </w:rPr>
        <w:t>Основная цель</w:t>
      </w:r>
      <w:r>
        <w:rPr>
          <w:rFonts w:cs="Times New Roman" w:ascii="Times New Roman" w:hAnsi="Times New Roman"/>
          <w:b/>
        </w:rPr>
        <w:t xml:space="preserve"> – </w:t>
      </w:r>
      <w:r>
        <w:rPr>
          <w:rFonts w:cs="Times New Roman" w:ascii="Times New Roman" w:hAnsi="Times New Roman"/>
          <w:spacing w:val="-2"/>
        </w:rPr>
        <w:t>повторить и обобщить знания и умения обучающихся через решение задач по следующим темам:</w:t>
      </w:r>
      <w:r>
        <w:rPr>
          <w:rFonts w:cs="Times New Roman" w:ascii="Times New Roman" w:hAnsi="Times New Roman"/>
          <w:spacing w:val="-1"/>
        </w:rPr>
        <w:t xml:space="preserve"> метод координат в пространстве; многогранники;</w:t>
      </w:r>
      <w:r>
        <w:rPr>
          <w:rFonts w:cs="Times New Roman" w:ascii="Times New Roman" w:hAnsi="Times New Roman"/>
          <w:spacing w:val="-2"/>
        </w:rPr>
        <w:t xml:space="preserve"> тела вращения</w:t>
      </w:r>
      <w:r>
        <w:rPr>
          <w:rFonts w:cs="Times New Roman" w:ascii="Times New Roman" w:hAnsi="Times New Roman"/>
          <w:spacing w:val="-1"/>
        </w:rPr>
        <w:t xml:space="preserve">; </w:t>
      </w:r>
      <w:r>
        <w:rPr>
          <w:rFonts w:cs="Times New Roman" w:ascii="Times New Roman" w:hAnsi="Times New Roman"/>
          <w:spacing w:val="-2"/>
        </w:rPr>
        <w:t>объёмы многогранников и тел вращения.</w:t>
      </w:r>
    </w:p>
    <w:p>
      <w:pPr>
        <w:pStyle w:val="Normal"/>
        <w:shd w:val="clear" w:color="auto" w:fill="FFFFFF"/>
        <w:ind w:firstLine="540"/>
        <w:jc w:val="both"/>
        <w:rPr>
          <w:rFonts w:ascii="Times New Roman" w:hAnsi="Times New Roman" w:cs="Times New Roman"/>
          <w:spacing w:val="-2"/>
        </w:rPr>
      </w:pPr>
      <w:r>
        <w:rPr>
          <w:rFonts w:cs="Times New Roman" w:ascii="Times New Roman" w:hAnsi="Times New Roman"/>
          <w:spacing w:val="-2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/>
      </w:pPr>
      <w:r>
        <w:rPr/>
        <w:t>Алгебра и начала математического анализа. 11 класс: учебник для общеобразовательных организаций: базовый и углубленный уровни / Ю.М.Колягин, М.В.Ткачёва, Н.Е.Фёдорова и др.– 8-е изд., стер. М.:Просвещение, 2020;</w:t>
      </w:r>
    </w:p>
    <w:p>
      <w:pPr>
        <w:pStyle w:val="ListParagraph"/>
        <w:numPr>
          <w:ilvl w:val="0"/>
          <w:numId w:val="6"/>
        </w:numPr>
        <w:rPr/>
      </w:pPr>
      <w:r>
        <w:rPr/>
        <w:t>Алгебра и начала анализа: учебник для 10 – 11 классов общеобразовательных учреждений /Ш.А.Алимов, Ю.М.Колягин и др. – М.: Просвещение, 2012.</w:t>
      </w:r>
    </w:p>
    <w:p>
      <w:pPr>
        <w:pStyle w:val="ListParagraph"/>
        <w:numPr>
          <w:ilvl w:val="0"/>
          <w:numId w:val="6"/>
        </w:numPr>
        <w:rPr/>
      </w:pPr>
      <w:r>
        <w:rPr/>
        <w:t>Дидактические материалы по алгебре и началам анализа: книга для учащихся 11 класса / М.И.Шабунин, М.В.Ткачёва и др. - М.: Просвещение, 2011.</w:t>
      </w:r>
    </w:p>
    <w:p>
      <w:pPr>
        <w:pStyle w:val="ListParagraph"/>
        <w:numPr>
          <w:ilvl w:val="0"/>
          <w:numId w:val="6"/>
        </w:numPr>
        <w:rPr/>
      </w:pPr>
      <w:r>
        <w:rPr/>
        <w:t>Тематические тесты для 10 - 11 классов / М.В.Ткачёва, Н.Е.Фёдорова - М.: Просвещение, 2010.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Изучение алгебры и начал математического анализа в 10 – 11 классах: книга для учителя / Н.Е.Фёдорова, М.В.Ткачёва - М.: Просвещение, 2011. 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Сканави М.И.  Сборник задач по математике для поступающих в вузы. М.: Издательство АСТ: Мир и образование, 2016.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УМК «Математика. Подготовка к ЕГЭ» под редакцией Ф.Ф.Лысенко. Ростов - на – Дону: Легион, 2020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Задачи с параметрами. Применение свойств функций, преобразование неравенств. – М.: АРКТИ, 2010 /Локоть В.В.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Задачи с параметрами. Иррациональные уравнения, неравенства, системы, задачи с модулем. – М.: АРКТИ, 2010 /Локоть В.В.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Экстремумы и касательные: сборник заданий. 10-11 классы.-  М.: ВАКО, 2014/ Писаревский Б.М.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Математика: задачи типа В1, В2, В3, В4, В6, В7, В9, В11, В12, В14, В15 / Э.Н.Балаян. – Ростов – на – Дону: Феникс, 2014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Функции и графики / В.Л.Шагин, А.В.Соколов. – М.: Вита – Пресс, 2007 (пособие для подготовки к ЕГЭ и конкурсным экзаменам в вузы).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>Геометрия, 10–11: Учебник для общеобразовательных учреждений/ Л.С. Атанасян, В.Ф. Бутузов, С.Б. Кадомцев и др. – М.: Просвещение, 2012.</w:t>
      </w:r>
    </w:p>
    <w:p>
      <w:pPr>
        <w:pStyle w:val="ListParagraph"/>
        <w:numPr>
          <w:ilvl w:val="0"/>
          <w:numId w:val="6"/>
        </w:numPr>
        <w:rPr/>
      </w:pPr>
      <w:r>
        <w:rPr/>
        <w:t>Зив Б.Г Дидактические материалы по геометрии для 11 класса – М.: Просвещение, 2019.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Научно-теоретический и методический журнал «Математика в школе»</w:t>
      </w:r>
    </w:p>
    <w:p>
      <w:pPr>
        <w:pStyle w:val="ListParagraph"/>
        <w:numPr>
          <w:ilvl w:val="0"/>
          <w:numId w:val="6"/>
        </w:numPr>
        <w:rPr/>
      </w:pPr>
      <w:r>
        <w:rPr/>
        <w:t>Еженедельное учебно-методическое приложение к газете «Первое сентября» Математика.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>Б.Г. Зив, В.М. Мейлер, А.П. Баханский. Задачи по геометрии для 7 – 11 классов. – М.: Просвещение, 2003.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>С.М. Саакян, В.Ф. Бутузов. Изучение геометрии в 10 – 11 классах: Методические рекомендации к учебнику. Книга для учителя. – М.: Просвещение, 2010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>Математика: задания высокой и повышенной сложности/ А.Г.Малкова. – Изд. 2-е. – Ростов н/Д: Феникс, 2019.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 xml:space="preserve">  </w:t>
      </w:r>
      <w:r>
        <w:rPr/>
        <w:t xml:space="preserve">Некрасов В.Б. Вся школьная математика. Самое необходимое. Учебное пособие для базовой и профильной школы. – СПб: СМИО Пресс, 2011.     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>А.Г.Малкова Математика: авторский курс подготовки к ЕГЭ. - Ростов н/Д: Феникс, 2017.</w:t>
      </w:r>
    </w:p>
    <w:p>
      <w:pPr>
        <w:pStyle w:val="Style29"/>
        <w:keepNext w:val="true"/>
        <w:keepLines/>
        <w:widowControl w:val="false"/>
        <w:numPr>
          <w:ilvl w:val="0"/>
          <w:numId w:val="6"/>
        </w:numPr>
        <w:suppressLineNumbers/>
        <w:jc w:val="both"/>
        <w:rPr/>
      </w:pPr>
      <w:r>
        <w:rPr/>
        <w:t>Шихова Н.А. Задачи с экономическим содержанием. – М.: ИЛЕКСА, 2018.</w:t>
      </w:r>
    </w:p>
    <w:p>
      <w:pPr>
        <w:pStyle w:val="Style29"/>
        <w:keepNext w:val="true"/>
        <w:keepLines/>
        <w:widowControl w:val="false"/>
        <w:suppressLineNumbers/>
        <w:ind w:left="360" w:hanging="0"/>
        <w:jc w:val="both"/>
        <w:rPr/>
      </w:pPr>
      <w:r>
        <w:rPr/>
        <w:t xml:space="preserve">        </w:t>
      </w:r>
    </w:p>
    <w:p>
      <w:pPr>
        <w:pStyle w:val="ListParagraph"/>
        <w:spacing w:before="0" w:after="240"/>
        <w:ind w:left="-12" w:hanging="0"/>
        <w:contextualSpacing/>
        <w:rPr/>
      </w:pPr>
      <w:r>
        <w:rPr/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>
      <w:pPr>
        <w:pStyle w:val="ListParagraph"/>
        <w:numPr>
          <w:ilvl w:val="0"/>
          <w:numId w:val="7"/>
        </w:numPr>
        <w:spacing w:before="0" w:after="240"/>
        <w:contextualSpacing/>
        <w:rPr/>
      </w:pPr>
      <w:r>
        <w:rPr/>
        <w:t xml:space="preserve">Министерство образования РФ:     </w:t>
      </w:r>
      <w:hyperlink r:id="rId2">
        <w:r>
          <w:rPr/>
          <w:t>http://www.informika.ru/</w:t>
        </w:r>
      </w:hyperlink>
      <w:r>
        <w:rPr/>
        <w:t xml:space="preserve">;   </w:t>
      </w:r>
      <w:hyperlink r:id="rId3">
        <w:r>
          <w:rPr/>
          <w:t>http://www.ed.gov.ru/</w:t>
        </w:r>
      </w:hyperlink>
      <w:r>
        <w:rPr/>
        <w:t xml:space="preserve">;   http://www.edu.ru/ 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Тестирование online: 5 - 11 классы :      http://www.kokch.kts.ru/cdo/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Педагогическая мастерская, уроки в Интернет и многое другое:      </w:t>
      </w:r>
      <w:hyperlink r:id="rId4">
        <w:r>
          <w:rPr/>
          <w:t>http://teacher.fio.ru</w:t>
        </w:r>
      </w:hyperlink>
    </w:p>
    <w:p>
      <w:pPr>
        <w:pStyle w:val="ListParagraph"/>
        <w:numPr>
          <w:ilvl w:val="0"/>
          <w:numId w:val="7"/>
        </w:numPr>
        <w:rPr/>
      </w:pPr>
      <w:r>
        <w:rPr/>
        <w:t>Новые технологии в образовании:      http://edu.secna.ru/main/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Путеводитель «В мире науки» для школьников:       </w:t>
      </w:r>
      <w:hyperlink r:id="rId5">
        <w:r>
          <w:rPr/>
          <w:t>http://www.uic.ssu.samara.ru/~nauka/</w:t>
        </w:r>
      </w:hyperlink>
    </w:p>
    <w:p>
      <w:pPr>
        <w:pStyle w:val="ListParagraph"/>
        <w:numPr>
          <w:ilvl w:val="0"/>
          <w:numId w:val="7"/>
        </w:numPr>
        <w:rPr/>
      </w:pPr>
      <w:r>
        <w:rPr/>
        <w:t xml:space="preserve">Мегаэнциклопедия Кирилла и Мефодия:       http://mega.km.ru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сайты «Энциклопедий энциклопедий», например:      </w:t>
      </w:r>
      <w:hyperlink r:id="rId6">
        <w:r>
          <w:rPr/>
          <w:t>http://www.rubricon.ru/</w:t>
        </w:r>
      </w:hyperlink>
      <w:r>
        <w:rPr/>
        <w:t xml:space="preserve">  ;     </w:t>
      </w:r>
      <w:hyperlink r:id="rId7">
        <w:r>
          <w:rPr/>
          <w:t>http://www.encyclopedia.ru/</w:t>
        </w:r>
      </w:hyperlink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Интернет-ресурс «Единая коллекция цифровых образовательных ресурсов». – </w:t>
      </w:r>
      <w:hyperlink r:id="rId8">
        <w:r>
          <w:rPr>
            <w:rFonts w:cs="Times New Roman" w:ascii="Times New Roman" w:hAnsi="Times New Roman"/>
            <w:color w:val="auto"/>
          </w:rPr>
          <w:t>http://school-collection.edu.ru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Интернет-ресурс «Открытый банк заданий по математике». – </w:t>
      </w:r>
      <w:hyperlink r:id="rId9">
        <w:r>
          <w:rPr>
            <w:rFonts w:cs="Times New Roman" w:ascii="Times New Roman" w:hAnsi="Times New Roman"/>
            <w:color w:val="auto"/>
          </w:rPr>
          <w:t>http://mathege.ru:8080/or/ege/Main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Мультимедийные презентации.</w:t>
      </w:r>
    </w:p>
    <w:p>
      <w:pPr>
        <w:pStyle w:val="ListParagraph"/>
        <w:numPr>
          <w:ilvl w:val="0"/>
          <w:numId w:val="7"/>
        </w:numPr>
        <w:rPr>
          <w:u w:val="single"/>
        </w:rPr>
      </w:pPr>
      <w:r>
        <w:rPr/>
        <w:t>Проект Webmath.ru: Решение задач по математике в режиме онлайн</w:t>
      </w:r>
      <w:r>
        <w:rPr>
          <w:u w:val="single"/>
        </w:rPr>
        <w:t xml:space="preserve">  /  </w:t>
      </w:r>
      <w:hyperlink r:id="rId10">
        <w:r>
          <w:rPr/>
          <w:t>http://webmath.ru</w:t>
        </w:r>
      </w:hyperlink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/>
        <w:t xml:space="preserve">Интернет-ресурс «Открытая математика. Стереометрия». –  </w:t>
      </w:r>
      <w:hyperlink r:id="rId11">
        <w:r>
          <w:rPr>
            <w:rFonts w:eastAsia="Calibri"/>
            <w:lang w:val="en-US"/>
          </w:rPr>
          <w:t>www</w:t>
        </w:r>
        <w:r>
          <w:rPr>
            <w:rFonts w:eastAsia="Calibri"/>
          </w:rPr>
          <w:t>.</w:t>
        </w:r>
        <w:r>
          <w:rPr>
            <w:rFonts w:eastAsia="Calibri"/>
            <w:lang w:val="en-US"/>
          </w:rPr>
          <w:t>college</w:t>
        </w:r>
        <w:r>
          <w:rPr>
            <w:rFonts w:eastAsia="Calibri"/>
          </w:rPr>
          <w:t>.</w:t>
        </w:r>
        <w:r>
          <w:rPr>
            <w:rFonts w:eastAsia="Calibri"/>
            <w:lang w:val="en-US"/>
          </w:rPr>
          <w:t>ru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Электронные учебные пособия</w:t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720" w:leader="none"/>
        </w:tabs>
        <w:ind w:left="72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720" w:leader="none"/>
        </w:tabs>
        <w:ind w:left="72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Математика. Практикум. 5-11 классы. Электронное учебное издание. М., ООО «Дрофа», ООО «ДОС», 2003.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14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Календарно-тематическое планирование по математике </w:t>
      </w:r>
    </w:p>
    <w:p>
      <w:pPr>
        <w:pStyle w:val="Normal"/>
        <w:ind w:left="142" w:hanging="14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для 11 класса</w:t>
      </w:r>
    </w:p>
    <w:p>
      <w:pPr>
        <w:pStyle w:val="Normal"/>
        <w:ind w:left="142"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на 2022-2023 учебный год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</w:t>
      </w:r>
      <w:r>
        <w:rPr>
          <w:rFonts w:cs="Times New Roman" w:ascii="Times New Roman" w:hAnsi="Times New Roman"/>
          <w:b/>
        </w:rPr>
        <w:t>Содержательная линия «Алгебра и начала математического анализа»</w:t>
      </w:r>
    </w:p>
    <w:tbl>
      <w:tblPr>
        <w:tblStyle w:val="ae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04"/>
        <w:gridCol w:w="700"/>
        <w:gridCol w:w="3874"/>
        <w:gridCol w:w="3792"/>
      </w:tblGrid>
      <w:tr>
        <w:trPr>
          <w:trHeight w:val="804" w:hRule="atLeast"/>
        </w:trPr>
        <w:tc>
          <w:tcPr>
            <w:tcW w:w="12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Дата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проведения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урока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урока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Тема урока</w:t>
            </w:r>
          </w:p>
        </w:tc>
        <w:tc>
          <w:tcPr>
            <w:tcW w:w="3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Характеристика основных видов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деятельности обучающихся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Повторение курса алгебры и начал математического анализа 10 класса (6 часов)</w:t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Степенная функция, ее свойства и график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иррациональные уравнения и неравенства;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показательные уравнения  и неравенства;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задания из ЕГЭ профильного уровня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Показательная функция, ее свойства и график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Логарифмическая функция, ее свойства и график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Тригонометрические уравнения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Контрольная работа «Исходный уровень» в формате ЕГЭ (базовый уровень)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1. Тригонометрические функции (16 часов)</w:t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 графикам функций описывают их свойства (монотонность, ограниченность, чётность, нечётность, периодичность). Приводят примеры функций (заданных с помощью формулы или графика), обладающих заданными свойствами (например, ограниченности).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Разъясняют смысл перечисленных свойств. Решают простейшие тригонометрические неравенства, используя график функции. Распознают графики тригонометрических функций, графики обратных тригонометрических функций.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Выполняют преобразования графиков элементарных функций: параллельный перенос, растяжение (сжатие) вдоль осей координат.</w:t>
            </w:r>
          </w:p>
        </w:tc>
      </w:tr>
      <w:tr>
        <w:trPr>
          <w:trHeight w:val="285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Свойство функции у=со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sx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и ее график.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49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Свойство функции у=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sinx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и ее график.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Свойства и графики  функций у=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tgx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и у=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ctgx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Обратные тригонометрические функции.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 №1 «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Тригонометрические функции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».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2. Производная и её геометрический смысл (22 часа)</w:t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23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Определение производной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угловой коэффициент касательной к графику функции в заданной точке. Находят мгновенную скорость движения материальной точки.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производные элементарных функций.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производные суммы, произведения и частного двух функций, производную сложной функции y = f (kx + b).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Вычисляют значение производной функции в точке (по определению). Находят угловой коэффициент касательной к графику функции в точке с заданной абсциссой.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Записывают уравнение касательной к графику функции, заданной в точке. Находят производную сложной функции. Применяют понятие производной при решении задач.</w:t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27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Правила дифференцирования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170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28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Производная степенной функции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35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Производные элементарных функций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37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38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Геометрический смысл производной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42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44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Контрольная работа №2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«Производная и ее геометрический смысл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».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3. Применение производной к исследованию функций (17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Возрастание и убывание функции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вторую производную.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промежутки возрастания и убывания функции.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Доказывают, что заданная функция возрастает (убывает) на указанном промежутке.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точки минимума и максимума функции.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наибольшее и наименьшее значения функции.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Исследуют  функцию с помощью производной и строят её график. Применяют производную при решении текстовых, геометрических, физических и других задач.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46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47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Экстремумы функции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Наибольшее и наименьшее значение функции.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52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54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Производная второго порядка, выпуклость и точки перегиба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56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Построение графиков функций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57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58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61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 №3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Применение производной к исследованию функций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».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4. Первообразная и интеграл (16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62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Первообразная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Вычисляют приближённое значение площади криволинейной трапеции. Находить первообразные функций: степенной, тригонометрических. Находят первообразные функций: f ( x) + g(x), kf (x) и f (kx + b).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Вычисляют  площади криволинейной трапеции с помощью формулы Ньютона—Лейбница.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приближённые значения интегралов.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Вычисляют площадь криволинейной трапеции с помощью интеграла.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64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Правила нахождения первообразных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66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67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Площадь криволинейной трапеции.  Интеграл и его вычисление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70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72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Вычисление площадей фигур с помощью интегралов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75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Применение интегралов для решения физических задач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77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 №4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ru-RU" w:bidi="ar-SA"/>
              </w:rPr>
              <w:t>Первообразная и интеграл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».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5. Комбинаторика (10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78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Правило произведения. Размещения с повторениями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Применяют правило произведения при выводе формулы числа перестановок. Создают математические модели для решения комбинаторных задач с помощью подсчёта числа размещений, перестановок и сочетаний.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число перестановок с повторениями.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комбинаторные задачи, сводящиеся к подсчёту числа сочетаний с повторениями.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80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Перестановки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82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Размещения без повторения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83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Сочетания без повторений и бином Ньютона.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85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77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Сочетания с повторениями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87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Контрольная работа №5 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Комбинаторика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»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6. Элементы теории вероятностей (9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88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Вероятность события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Приводят примеры случайных, достоверных и невозможных событий. Знают определение суммы и произведения событий.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Знают определение вероятности события в классическом понимании.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Приводят примеры несовместных событий.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вероятность суммы несовместных событий.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вероятность суммы произвольных событий.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89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90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Сложение вероятностей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91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92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Условная вероятность. Независимость событий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93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Вероятность произведения независимых событий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95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работа№6   «</w:t>
            </w: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bidi="ar-SA"/>
              </w:rPr>
              <w:t>Элементы теории вероятностей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»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7. Комплексные числа (11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97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Выполняют вычисления с комплексными числами: сложение, вычитание, умножение, деление.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Изображают комплексные числа точками на комплексной плоскости. Интерпретируют  на комплексной плоскости сложение и вычитание комплексных чисел.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 корни квадратных уравнений с действительными коэффициентами. Применяют различные формы записи комплексных чисел: алгебраическую, тригонометрическую и показательную.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98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99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Комплексно сопряженные числа. Модуль комплексного числа. Операции вычитания и деления.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101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Геометрическая интерпретация комплексного числа.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103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Тригонометрическая форма комплексного числа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104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105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Квадратное уравнение с комплексным неизвестным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905" w:leader="none"/>
                <w:tab w:val="left" w:pos="642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107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работа№7 «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Комплексные числа»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8. Уравнения и неравенства с двумя переменными (10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108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Линейные уравнения и неравенства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 двумя переменными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изображают на координатной плоскости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множество решений линейных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неравенств и систем линейных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неравенств с двумя переменными.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109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110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111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112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Нелинейные уравнения и неравенства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 двумя переменными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знакомятся  с различными методами решения нелинейных уравнений и неравенств, систем нелинейных уравнений и неравенств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113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114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115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Уравнения с двумя переменными,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содержащие параметры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знакомятся с различными методами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решения  уравнений и неравенств, содержащих параметры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117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Неравенства с двумя переменными,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содержащие параметры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Итоговое повторение (19 часов)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118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Проценты, пропорции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задания из сборников для подготовки к ЕГЭ</w:t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119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Преобразование выражений, содержащих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радикалы и степени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120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Преобразование тригонометрических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выражений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121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Функции. Чтение графика функции.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122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Тригонометрические функции.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123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Решение тригонометрических уравнений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124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Степенная, показательная 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логарифмическая функции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125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Решение показательных уравнений 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неравенств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126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Решение логарифмических уравнений 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неравенств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127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Иррациональные уравнения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128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Уравнения и системы уравнений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129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Производная. Геометрический смысл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производной.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130</w:t>
            </w:r>
          </w:p>
        </w:tc>
        <w:tc>
          <w:tcPr>
            <w:tcW w:w="38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Наибольшее и наименьшее значения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функции.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131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0"/>
                <w:szCs w:val="20"/>
                <w:lang w:val="ru-RU" w:bidi="ar-SA"/>
              </w:rPr>
              <w:t>Итоговая работа в формате ЕГЭ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132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133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134</w:t>
            </w:r>
          </w:p>
        </w:tc>
        <w:tc>
          <w:tcPr>
            <w:tcW w:w="387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135</w:t>
            </w:r>
          </w:p>
        </w:tc>
        <w:tc>
          <w:tcPr>
            <w:tcW w:w="387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Решение текстовых задач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227" w:hRule="atLeast"/>
        </w:trPr>
        <w:tc>
          <w:tcPr>
            <w:tcW w:w="1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38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</w:t>
      </w:r>
      <w:r>
        <w:rPr>
          <w:rFonts w:cs="Times New Roman" w:ascii="Times New Roman" w:hAnsi="Times New Roman"/>
          <w:b/>
        </w:rPr>
        <w:t>Содержательная линия «Геометрия»</w:t>
      </w:r>
    </w:p>
    <w:tbl>
      <w:tblPr>
        <w:tblStyle w:val="ae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3"/>
        <w:gridCol w:w="707"/>
        <w:gridCol w:w="3828"/>
        <w:gridCol w:w="3792"/>
      </w:tblGrid>
      <w:tr>
        <w:trPr/>
        <w:tc>
          <w:tcPr>
            <w:tcW w:w="12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Дата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проведения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урока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урока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Тема урока</w:t>
            </w:r>
          </w:p>
        </w:tc>
        <w:tc>
          <w:tcPr>
            <w:tcW w:w="37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Характеристика основных видов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деятельности обучающихся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Глава 4. Векторы в пространстве (7 часов)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Понятие вектора. Равенство векторов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 задачи с полным теоретическим обоснованием.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Выполняют  действия над векторами.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 задачи на применение правила параллелепипеда и на разложение вектора.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Сложение и вычитание векторов. Сумма нескольких векторов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Умножение вектора на число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Компланарные векторы. Правило параллелепипеда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Разложение вектора по трём некомпланарным векторам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Повторение теории. Решение задач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Зачёт по теме «Векторы в пространстве»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Глава 5. Метод координат в пространстве (15 часов)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Прямоугольная система координат в пространстве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Строят  точки по заданным её координатам и находят координаты точки, изображенной в заданной системе координат.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координаты произвольного вектора.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Находят  угол между векторами по их координатам,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вычисляют скалярное произведение векторов.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стереометрические  задачи координатно – векторным методом.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Координаты вектора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Связь между координатами векторов и координатами точек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Простейшие задачи в координатах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Угол между векторами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Скалярное произведение векторов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Вычисление углов между прямыми и плоскостями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Уравнение плоскости. Расстояние от точки до плоскости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Центральная и осевая симметрии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Зеркальная симметрия. Параллельный перенос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 по теме «Метод координат в пространстве»</w:t>
            </w:r>
          </w:p>
        </w:tc>
        <w:tc>
          <w:tcPr>
            <w:tcW w:w="379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Глава 6. Цилиндр, конус и шар (18часов)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Понятие цилиндра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Проводят аналогии между рассматриваемыми теоремами и теоремами о касательной к окружности из планиметрии.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задачи, в которых рассматриваются различные комбинации тел.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24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Площадь поверхности цилиндра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Понятие конуса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27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Площадь поверхности конуса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28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Усечённый конус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Сфера и шар. Уравнение сферы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Взаимное расположение сферы и плоскости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Касательная плоскость к сфере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33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Площадь сферы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Разные задачи на многогранники, цилиндр, конус и шар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35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37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38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Сечения цилиндрической и конической поверхностей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 по теме «Цилиндр, конус и шар»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Глава 7. Объёмы тел (22 часа)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Понятие объёма</w:t>
            </w:r>
          </w:p>
        </w:tc>
        <w:tc>
          <w:tcPr>
            <w:tcW w:w="379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Формулируют свойства объёмов по аналогии с понятием площади и её свойств из планиметрии.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 задачи на нахождение объёма прямоугольного параллелепипеда.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Выводят формулу объёма прямой призмы, в основании которой лежит прямоугольный треугольник, использую т её при решении задач.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Решают  задачи на нахождение объёма пирамиды, конуса, шара.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42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прямоугольного параллелепипеда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43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44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прямой призмы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46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цилиндра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47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Вычисление объёмов тел с помощью определённого интеграла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49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наклонной призмы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пирамиды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51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52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53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54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конуса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56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57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58</w:t>
            </w:r>
          </w:p>
        </w:tc>
        <w:tc>
          <w:tcPr>
            <w:tcW w:w="38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 шара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59</w:t>
            </w:r>
          </w:p>
        </w:tc>
        <w:tc>
          <w:tcPr>
            <w:tcW w:w="38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Объёмы шарового сегмента, шарового слоя и шарового сектора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61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Площадь сферы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Контрольная работа по теме «Объёмы тел»</w:t>
            </w:r>
          </w:p>
        </w:tc>
        <w:tc>
          <w:tcPr>
            <w:tcW w:w="37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 w:bidi="ar-SA"/>
              </w:rPr>
              <w:t>Заключительное повторение (6 часов)</w:t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62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Параллельность прямых, прямой и плоскости. Скрещивающиеся прямые. Параллельность плоскостей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64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Перпендикулярность прямой и плоскости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Теорема о трёх перпендикулярах. Угол между прямой и плоскостью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66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Двугранный угол. Перпендикулярность плоскостей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67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Многогранники:, площади  их поверхностей, объёмы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1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Цилиндр, конус, шар, площади  их поверхностей и объёмы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Calibri Light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8"/>
    <w:lvlOverride w:ilvl="1">
      <w:startOverride w:val="1"/>
    </w:lvlOverride>
  </w:num>
  <w:num w:numId="12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801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Style23"/>
    <w:qFormat/>
    <w:pPr/>
    <w:rPr/>
  </w:style>
  <w:style w:type="paragraph" w:styleId="4">
    <w:name w:val="Heading 4"/>
    <w:basedOn w:val="Style2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Абзац списка Знак"/>
    <w:uiPriority w:val="99"/>
    <w:qFormat/>
    <w:locked/>
    <w:rsid w:val="0049181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Без интервала Знак"/>
    <w:basedOn w:val="DefaultParagraphFont"/>
    <w:uiPriority w:val="1"/>
    <w:qFormat/>
    <w:rsid w:val="00d35805"/>
    <w:rPr>
      <w:rFonts w:ascii="Calibri" w:hAnsi="Calibri" w:eastAsia="Times New Roman" w:cs="Calibri"/>
      <w:lang w:eastAsia="ru-RU"/>
    </w:rPr>
  </w:style>
  <w:style w:type="character" w:styleId="Style14" w:customStyle="1">
    <w:name w:val="Интернет-ссылка"/>
    <w:basedOn w:val="DefaultParagraphFont"/>
    <w:uiPriority w:val="99"/>
    <w:unhideWhenUsed/>
    <w:rsid w:val="008f7658"/>
    <w:rPr>
      <w:color w:val="0000FF" w:themeColor="hyperlink"/>
      <w:u w:val="single"/>
    </w:rPr>
  </w:style>
  <w:style w:type="character" w:styleId="Style15" w:customStyle="1">
    <w:name w:val="Основной текст с отступом Знак"/>
    <w:basedOn w:val="DefaultParagraphFont"/>
    <w:qFormat/>
    <w:rsid w:val="008f76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harAttribute501" w:customStyle="1">
    <w:name w:val="CharAttribute501"/>
    <w:uiPriority w:val="99"/>
    <w:qFormat/>
    <w:rsid w:val="002e40ca"/>
    <w:rPr>
      <w:rFonts w:ascii="Times New Roman" w:hAnsi="Times New Roman" w:eastAsia="Times New Roman"/>
      <w:i/>
      <w:sz w:val="28"/>
      <w:u w:val="single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Strong">
    <w:name w:val="Strong"/>
    <w:qFormat/>
    <w:rPr>
      <w:b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6">
    <w:name w:val="Основной текст Знак"/>
    <w:qFormat/>
    <w:rPr>
      <w:rFonts w:ascii="Times New Roman" w:hAnsi="Times New Roman" w:eastAsia="Times New Roman"/>
    </w:rPr>
  </w:style>
  <w:style w:type="character" w:styleId="Style17">
    <w:name w:val="Верхний колонтитул Знак"/>
    <w:qFormat/>
    <w:rPr>
      <w:rFonts w:eastAsia="0"/>
      <w:lang w:eastAsia="ru-RU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Style19">
    <w:name w:val="Нижний колонтитул Знак"/>
    <w:qFormat/>
    <w:rPr>
      <w:rFonts w:ascii="Times New Roman" w:hAnsi="Times New Roman" w:eastAsia="Times New Roman"/>
      <w:sz w:val="24"/>
    </w:rPr>
  </w:style>
  <w:style w:type="character" w:styleId="Style20">
    <w:name w:val="Заголовок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Style21">
    <w:name w:val="Основной текст_"/>
    <w:qFormat/>
    <w:rPr>
      <w:rFonts w:ascii="Century Schoolbook" w:hAnsi="Century Schoolbook" w:eastAsia="Century Schoolbook"/>
      <w:sz w:val="17"/>
      <w:szCs w:val="17"/>
      <w:shd w:fill="FFFFFF" w:val="clear"/>
    </w:rPr>
  </w:style>
  <w:style w:type="character" w:styleId="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21">
    <w:name w:val="Заголовок 2 Знак"/>
    <w:qFormat/>
    <w:rPr>
      <w:rFonts w:ascii="Arial" w:hAnsi="Arial" w:eastAsia="Arial"/>
      <w:b/>
      <w:i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2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91816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</w:rPr>
  </w:style>
  <w:style w:type="paragraph" w:styleId="Default" w:customStyle="1">
    <w:name w:val="Default"/>
    <w:qFormat/>
    <w:rsid w:val="00367f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d3580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9">
    <w:name w:val="Body Text Indent"/>
    <w:basedOn w:val="Normal"/>
    <w:rsid w:val="008f7658"/>
    <w:pPr>
      <w:ind w:firstLine="540"/>
    </w:pPr>
    <w:rPr>
      <w:rFonts w:ascii="Times New Roman" w:hAnsi="Times New Roman" w:eastAsia="Times New Roman" w:cs="Times New Roman"/>
      <w:color w:val="auto"/>
    </w:rPr>
  </w:style>
  <w:style w:type="paragraph" w:styleId="15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6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7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NormalWeb">
    <w:name w:val="Normal (Web)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8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22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30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">
    <w:name w:val="Основной текст с отступом 3"/>
    <w:basedOn w:val="Normal"/>
    <w:qFormat/>
    <w:pPr>
      <w:ind w:firstLine="567"/>
    </w:pPr>
    <w:rPr/>
  </w:style>
  <w:style w:type="paragraph" w:styleId="24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a3a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formika.ru/" TargetMode="External"/><Relationship Id="rId3" Type="http://schemas.openxmlformats.org/officeDocument/2006/relationships/hyperlink" Target="http://www.ed.gov.ru/" TargetMode="External"/><Relationship Id="rId4" Type="http://schemas.openxmlformats.org/officeDocument/2006/relationships/hyperlink" Target="http://teacher.fio.ru/" TargetMode="External"/><Relationship Id="rId5" Type="http://schemas.openxmlformats.org/officeDocument/2006/relationships/hyperlink" Target="http://www.uic.ssu.samara.ru/~nauka/" TargetMode="External"/><Relationship Id="rId6" Type="http://schemas.openxmlformats.org/officeDocument/2006/relationships/hyperlink" Target="http://www.rubricon.ru/" TargetMode="External"/><Relationship Id="rId7" Type="http://schemas.openxmlformats.org/officeDocument/2006/relationships/hyperlink" Target="http://www.encyclopedia.r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hyperlink" Target="http://mathege.ru:8080/or/ege/Main" TargetMode="External"/><Relationship Id="rId10" Type="http://schemas.openxmlformats.org/officeDocument/2006/relationships/hyperlink" Target="http://webmath.ru/" TargetMode="External"/><Relationship Id="rId11" Type="http://schemas.openxmlformats.org/officeDocument/2006/relationships/hyperlink" Target="http://www.college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Application>LibreOffice/7.0.3.1$Linux_X86_64 LibreOffice_project/00$Build-1</Application>
  <Pages>20</Pages>
  <Words>6181</Words>
  <Characters>45098</Characters>
  <CharactersWithSpaces>52312</CharactersWithSpaces>
  <Paragraphs>750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2022-09-19T13:35:07Z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