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</w:rPr>
        <w:t>Государственное бюджетное общеобразовательное учреждение</w:t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</w:rPr>
        <w:t>«Морская школа» Московского района Санкт-Петербурга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6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nos" w:hAnsi="Tinos"/>
        </w:rPr>
      </w:pPr>
      <w:r>
        <w:rPr>
          <w:rFonts w:eastAsia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before="0" w:after="0"/>
        <w:rPr>
          <w:rFonts w:ascii="Tinos" w:hAnsi="Tinos"/>
        </w:rPr>
      </w:pPr>
      <w:r>
        <w:rPr>
          <w:rFonts w:eastAsia="Arial Unicode M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Arial Unicode MS" w:cs="Times New Roman" w:ascii="Tinos" w:hAnsi="Tinos"/>
          <w:color w:val="000000"/>
          <w:sz w:val="20"/>
          <w:szCs w:val="20"/>
          <w:lang w:val="ru-RU" w:bidi="ar-SA"/>
        </w:rPr>
        <w:t>7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ind w:left="-15" w:firstLine="30"/>
        <w:jc w:val="both"/>
        <w:rPr>
          <w:rFonts w:ascii="Tinos" w:hAnsi="Tinos"/>
          <w:color w:val="000000"/>
          <w:sz w:val="20"/>
          <w:szCs w:val="20"/>
        </w:rPr>
      </w:pPr>
      <w:r>
        <w:rPr>
          <w:rFonts w:ascii="Tinos" w:hAnsi="Tinos"/>
          <w:color w:val="000000"/>
          <w:sz w:val="20"/>
          <w:szCs w:val="20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jc w:val="both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ind w:left="-15" w:firstLine="3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</w:rPr>
        <w:t>Программа внеурочной деятельности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-15" w:leader="none"/>
          <w:tab w:val="left" w:pos="518" w:leader="none"/>
        </w:tabs>
        <w:ind w:left="-15" w:firstLine="30"/>
        <w:jc w:val="center"/>
        <w:rPr>
          <w:rFonts w:ascii="Tinos" w:hAnsi="Tinos"/>
          <w:color w:val="000000"/>
          <w:sz w:val="28"/>
          <w:szCs w:val="28"/>
        </w:rPr>
      </w:pPr>
      <w:r>
        <w:rPr>
          <w:rFonts w:ascii="Tinos" w:hAnsi="Tinos"/>
          <w:color w:val="000000"/>
          <w:sz w:val="28"/>
          <w:szCs w:val="28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 xml:space="preserve">«Морская практика» </w:t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для 7-11 класса</w:t>
      </w:r>
    </w:p>
    <w:p>
      <w:pPr>
        <w:pStyle w:val="Normal"/>
        <w:jc w:val="center"/>
        <w:rPr>
          <w:rFonts w:ascii="Tinos" w:hAnsi="Tinos"/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на 2022-2023</w:t>
      </w:r>
      <w:bookmarkStart w:id="0" w:name="_GoBack"/>
      <w:bookmarkEnd w:id="0"/>
      <w:r>
        <w:rPr>
          <w:rFonts w:ascii="Tinos" w:hAnsi="Tinos"/>
          <w:b/>
          <w:sz w:val="28"/>
          <w:szCs w:val="28"/>
        </w:rPr>
        <w:t xml:space="preserve"> учебный год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spacing w:before="0" w:after="0"/>
        <w:jc w:val="right"/>
        <w:rPr>
          <w:rFonts w:ascii="Tinos" w:hAnsi="Tinos"/>
        </w:rPr>
      </w:pPr>
      <w:r>
        <w:rPr>
          <w:rFonts w:ascii="Tinos" w:hAnsi="Tino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nos" w:hAnsi="Tinos"/>
        </w:rPr>
        <w:t>Составители:</w:t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rFonts w:ascii="Tinos" w:hAnsi="Tinos"/>
        </w:rPr>
      </w:pPr>
      <w:r>
        <w:rPr>
          <w:rFonts w:eastAsia="DejaVu Sans" w:cs="Times New Roman" w:ascii="Tinos" w:hAnsi="Tinos"/>
          <w:color w:val="00000A"/>
        </w:rPr>
        <w:t>мо педагогов-организаторов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jc w:val="right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</w:rPr>
      </w:pPr>
      <w:r>
        <w:rPr>
          <w:rFonts w:ascii="Tinos" w:hAnsi="Tinos"/>
        </w:rPr>
        <w:t xml:space="preserve">Санкт-Петербург 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</w:rPr>
      </w:pPr>
      <w:r>
        <w:rPr>
          <w:rFonts w:ascii="Tinos" w:hAnsi="Tinos"/>
        </w:rPr>
        <w:t>2022-2022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Пояснительная записка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  <w:tab/>
        <w:tab/>
      </w:r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ascii="Tinos" w:hAnsi="Tinos"/>
        </w:rPr>
        <w:t xml:space="preserve">Программа внеурочной деятельности «Морская практика» </w:t>
      </w:r>
      <w:r>
        <w:rPr>
          <w:rFonts w:ascii="Tinos" w:hAnsi="Tinos"/>
          <w:color w:val="000000"/>
        </w:rPr>
        <w:t>составлена на основе Концепции патриотического воспитания российских школьников и разработана на основе следующей нормативной базы: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color w:val="000000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Устав ГБОУ «Морская школа» Московского района Санкт-Петербурга;</w:t>
      </w:r>
    </w:p>
    <w:p>
      <w:pPr>
        <w:pStyle w:val="Normal"/>
        <w:numPr>
          <w:ilvl w:val="0"/>
          <w:numId w:val="3"/>
        </w:numPr>
        <w:spacing w:before="0" w:after="0"/>
        <w:ind w:firstLine="709"/>
        <w:jc w:val="both"/>
        <w:rPr>
          <w:rFonts w:ascii="Tinos" w:hAnsi="Tinos"/>
        </w:rPr>
      </w:pPr>
      <w:r>
        <w:rPr>
          <w:rFonts w:ascii="Tinos" w:hAnsi="Tinos"/>
          <w:color w:val="000000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</w:t>
      </w:r>
      <w:r>
        <w:rPr>
          <w:rFonts w:eastAsia="DejaVu Sans" w:cs="Times New Roman" w:ascii="Tinos" w:hAnsi="Tinos"/>
          <w:color w:val="000000"/>
        </w:rPr>
        <w:t>62-ОБ</w:t>
      </w:r>
      <w:r>
        <w:rPr>
          <w:rFonts w:ascii="Tinos" w:hAnsi="Tinos"/>
          <w:color w:val="000000"/>
        </w:rPr>
        <w:t xml:space="preserve"> «Об утверждении основной образовательной программы основного общего образования»)</w:t>
      </w:r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  <w:t xml:space="preserve">           </w:t>
      </w:r>
      <w:r>
        <w:rPr>
          <w:rFonts w:ascii="Tinos" w:hAnsi="Tinos"/>
        </w:rPr>
        <w:t>Программа внеурочной деятельности «Морская практика ориентирована на использование учебника (учебно-методического комплекта):</w:t>
      </w:r>
    </w:p>
    <w:p>
      <w:pPr>
        <w:pStyle w:val="Normal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Учебники: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Копп М.М. Курс подготовки старшин шлюпок 1988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Корабельный устав ВМФ РФ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Макаров И.В. Морское дело. Транспорт,1989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Иванов П.П. Учись морскому делу. Транспорт,1989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 xml:space="preserve"> </w:t>
      </w:r>
      <w:r>
        <w:rPr>
          <w:rFonts w:ascii="Tinos" w:hAnsi="Tinos"/>
        </w:rPr>
        <w:t>МППСС-72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ППВВП – 2002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Григорьев В.В.,Грязнов В.М. Судовые такелажные работы  Транспорт,1975 г.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Замоткин А.П. Морская практика для моряков Транспорт,1993 г.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  <w:t xml:space="preserve">       </w:t>
      </w:r>
      <w:r>
        <w:rPr>
          <w:rFonts w:ascii="Tinos" w:hAnsi="Tinos"/>
        </w:rPr>
        <w:t>Программа рассчитана на 34 часа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  <w:t xml:space="preserve">       </w:t>
      </w:r>
      <w:r>
        <w:rPr>
          <w:rFonts w:ascii="Tinos" w:hAnsi="Tinos"/>
        </w:rPr>
        <w:t>Программой предусмотрено практическое использование знаний морской подготовки.</w:t>
      </w:r>
    </w:p>
    <w:p>
      <w:pPr>
        <w:pStyle w:val="Normal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 xml:space="preserve">Ресурсное обеспечение 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Учебно-методический комплекс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Видео и фото материалы на электронных носителях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Литература для обучающихся (основная и дополнительная)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 xml:space="preserve">Информационно-техническая оснащенность 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Плакаты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Tinos" w:hAnsi="Tinos"/>
        </w:rPr>
      </w:pPr>
      <w:r>
        <w:rPr>
          <w:rFonts w:ascii="Tinos" w:hAnsi="Tinos"/>
        </w:rPr>
        <w:t>Макеты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           </w:t>
      </w:r>
      <w:r>
        <w:rPr>
          <w:rFonts w:ascii="Tinos" w:hAnsi="Tinos"/>
        </w:rPr>
        <w:t>Программа внеурочной деятельности «Морская практика имеет цель на практике применить знания, полученные на занятиях «Морское дело»: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- Научиться основам управления шлюпкой, получить практические знания и навыки. 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-Научиться правильно понимать и выполнять основные команды по управлению шлюпкой.           -Ознакомиться с основами такелажного дела, получив устойчивые практические навыки, уметь вязать основные морские узлы. 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>-Получить и закрепить навыки простейшей визуальной сигнализации,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 </w:t>
      </w:r>
      <w:r>
        <w:rPr>
          <w:rFonts w:ascii="Tinos" w:hAnsi="Tinos"/>
        </w:rPr>
        <w:t xml:space="preserve">-получить понятие о способах зрительной связи. 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-Ознакомиться с устройством корабля, его системами, 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-получить практические основы теории корабля. 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>-Выполнять правила поведения на воде, основы спасания и использования спасательных средств.</w:t>
      </w:r>
    </w:p>
    <w:p>
      <w:pPr>
        <w:pStyle w:val="Normal"/>
        <w:jc w:val="both"/>
        <w:rPr>
          <w:rFonts w:ascii="Tinos" w:hAnsi="Tinos"/>
        </w:rPr>
      </w:pPr>
      <w:r>
        <w:rPr>
          <w:rFonts w:ascii="Tinos" w:hAnsi="Tinos"/>
        </w:rPr>
        <w:t xml:space="preserve">        </w:t>
      </w:r>
      <w:r>
        <w:rPr>
          <w:rFonts w:ascii="Tinos" w:hAnsi="Tinos"/>
        </w:rPr>
        <w:t>Ключевая идея курса заключается в ознакомление учащихся с Морским флотом РФ и его предназначением. Создает условия для будущей самореализации и приобщения к работе на морском и речном транспорте, и ознакомлении с судами Морского флота.</w:t>
      </w:r>
    </w:p>
    <w:p>
      <w:pPr>
        <w:pStyle w:val="Normal"/>
        <w:jc w:val="both"/>
        <w:rPr>
          <w:rFonts w:ascii="Tinos" w:hAnsi="Tinos"/>
        </w:rPr>
      </w:pPr>
      <w:r>
        <w:rPr>
          <w:rFonts w:ascii="Tinos" w:hAnsi="Tinos"/>
        </w:rPr>
        <w:t xml:space="preserve">       </w:t>
      </w:r>
      <w:r>
        <w:rPr>
          <w:rFonts w:ascii="Tinos" w:hAnsi="Tinos"/>
        </w:rPr>
        <w:t>Специфика курса «Морская практика» требует особой организации учебной деятельности школьников.</w:t>
      </w:r>
    </w:p>
    <w:p>
      <w:pPr>
        <w:pStyle w:val="Normal"/>
        <w:jc w:val="both"/>
        <w:rPr>
          <w:rFonts w:ascii="Tinos" w:hAnsi="Tinos"/>
        </w:rPr>
      </w:pPr>
      <w:r>
        <w:rPr>
          <w:rFonts w:ascii="Tinos" w:hAnsi="Tinos"/>
        </w:rPr>
        <w:t xml:space="preserve">       </w:t>
      </w:r>
      <w:r>
        <w:rPr>
          <w:rFonts w:ascii="Tinos" w:hAnsi="Tinos"/>
        </w:rPr>
        <w:t>Дети продолжают осваивать социальную роль ученика, расширяя сферу взаимодействия с окружающим миром, формирование внутренней позиции, планирование своей деятельности, осуществлять контроль и оценку сделанного.</w:t>
      </w:r>
    </w:p>
    <w:p>
      <w:pPr>
        <w:pStyle w:val="Normal"/>
        <w:jc w:val="both"/>
        <w:rPr>
          <w:rFonts w:ascii="Tinos" w:hAnsi="Tinos"/>
        </w:rPr>
      </w:pPr>
      <w:r>
        <w:rPr>
          <w:rFonts w:ascii="Tinos" w:hAnsi="Tinos"/>
        </w:rPr>
        <w:t xml:space="preserve">     </w:t>
      </w:r>
      <w:r>
        <w:rPr>
          <w:rFonts w:ascii="Tinos" w:hAnsi="Tinos"/>
        </w:rPr>
        <w:t>Практическая сторона образования связана с закреплением полученных на общих дисциплинах знаний применительно к морскому делу. Развитие интереса к морскому делу, духовная – патриотическое воспитание, развитие человека.</w:t>
      </w:r>
    </w:p>
    <w:p>
      <w:pPr>
        <w:pStyle w:val="Normal"/>
        <w:spacing w:lineRule="atLeast" w:line="300" w:before="0" w:after="150"/>
        <w:jc w:val="both"/>
        <w:rPr>
          <w:rFonts w:ascii="Tinos" w:hAnsi="Tinos"/>
        </w:rPr>
      </w:pPr>
      <w:r>
        <w:rPr>
          <w:rFonts w:eastAsia="Times New Roman" w:ascii="Tinos" w:hAnsi="Tinos"/>
          <w:color w:val="auto"/>
          <w:sz w:val="24"/>
          <w:szCs w:val="24"/>
          <w:lang w:eastAsia="ru-RU"/>
        </w:rPr>
        <w:t xml:space="preserve">      </w:t>
      </w:r>
      <w:r>
        <w:rPr>
          <w:rFonts w:eastAsia="Times New Roman" w:ascii="Tinos" w:hAnsi="Tinos"/>
          <w:color w:val="auto"/>
          <w:sz w:val="24"/>
          <w:szCs w:val="24"/>
          <w:lang w:eastAsia="ru-RU"/>
        </w:rPr>
        <w:t>Обучение дает возможность научить учащихся самостоятельно анализировать конкретную проблемную задачу и находить наилучший способ её решения. Развитие физического и логического мышления школьников. Развить творческие способности учащихся и привитие практических умений.</w:t>
      </w:r>
    </w:p>
    <w:p>
      <w:pPr>
        <w:pStyle w:val="Normal"/>
        <w:jc w:val="both"/>
        <w:rPr>
          <w:rFonts w:ascii="Tinos" w:hAnsi="Tinos"/>
        </w:rPr>
      </w:pPr>
      <w:r>
        <w:rPr>
          <w:rFonts w:ascii="Tinos" w:hAnsi="Tinos"/>
        </w:rPr>
        <w:t xml:space="preserve">     </w:t>
      </w:r>
      <w:r>
        <w:rPr>
          <w:rFonts w:ascii="Tinos" w:hAnsi="Tinos"/>
        </w:rPr>
        <w:t>Новизна данной программы определяется тем, что комбинирование теоретических и практических навыков, закрепление полученных на общих дисциплинах знаний применительно к морскому делу – способствует развитию интереса к морскому делу и выбору дальнейшей профессии.</w:t>
      </w:r>
    </w:p>
    <w:p>
      <w:pPr>
        <w:pStyle w:val="Normal"/>
        <w:spacing w:lineRule="atLeast" w:line="300" w:before="0" w:after="150"/>
        <w:jc w:val="both"/>
        <w:rPr>
          <w:rFonts w:ascii="Tinos" w:hAnsi="Tinos"/>
        </w:rPr>
      </w:pPr>
      <w:r>
        <w:rPr>
          <w:rFonts w:eastAsia="Times New Roman" w:ascii="Tinos" w:hAnsi="Tinos"/>
          <w:color w:val="auto"/>
          <w:sz w:val="24"/>
          <w:szCs w:val="24"/>
          <w:lang w:eastAsia="ru-RU"/>
        </w:rPr>
        <w:t xml:space="preserve">    </w:t>
      </w:r>
      <w:r>
        <w:rPr>
          <w:rFonts w:eastAsia="Times New Roman" w:ascii="Tinos" w:hAnsi="Tinos"/>
          <w:color w:val="auto"/>
          <w:sz w:val="24"/>
          <w:szCs w:val="24"/>
          <w:lang w:eastAsia="ru-RU"/>
        </w:rPr>
        <w:t>При организации в рамках данной программы предполагается применение следующих педагогических технологий обучения внеурочной деятельности: в виде групповых дискуссий и соревнований, рассматриваются закрепления необходимых навыков, которые позволяют применять полученные знания в реальной жизни.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 xml:space="preserve">    </w:t>
      </w:r>
      <w:r>
        <w:rPr>
          <w:rFonts w:ascii="Tinos" w:hAnsi="Tinos"/>
        </w:rPr>
        <w:t>Морская практика предусматривается в формах групповых дискуссий и соревнований по морской практике, участие в шлюпочных походах и соревнованиях по гребле, выхода на парусно-моторной шхуне.</w:t>
      </w:r>
    </w:p>
    <w:p>
      <w:pPr>
        <w:pStyle w:val="Normal"/>
        <w:tabs>
          <w:tab w:val="clear" w:pos="709"/>
          <w:tab w:val="left" w:pos="11467" w:leader="none"/>
        </w:tabs>
        <w:jc w:val="both"/>
        <w:rPr>
          <w:rFonts w:ascii="Tinos" w:hAnsi="Tinos"/>
        </w:rPr>
      </w:pPr>
      <w:r>
        <w:rPr>
          <w:rFonts w:ascii="Tinos" w:hAnsi="Tinos"/>
        </w:rPr>
        <w:t>Промежуточная аттестация проводится в соответствии с Уставом ОУ и локальным актом в форме зачетов.</w:t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Тематическое планирование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для 10 класса по внеурочной деятельности «Морская практика» 34 часа в год</w:t>
      </w:r>
    </w:p>
    <w:p>
      <w:pPr>
        <w:pStyle w:val="Normal"/>
        <w:shd w:val="clear" w:color="auto" w:fill="FFFFFF"/>
        <w:spacing w:lineRule="atLeast" w:line="328"/>
        <w:rPr>
          <w:rFonts w:ascii="Tinos" w:hAnsi="Tinos"/>
          <w:b/>
          <w:b/>
          <w:bCs/>
          <w:color w:val="000000"/>
        </w:rPr>
      </w:pPr>
      <w:r>
        <w:rPr>
          <w:rFonts w:ascii="Tinos" w:hAnsi="Tinos"/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328"/>
        <w:rPr>
          <w:rFonts w:ascii="Tinos" w:hAnsi="Tinos"/>
        </w:rPr>
      </w:pPr>
      <w:r>
        <w:rPr>
          <w:rFonts w:ascii="Tinos" w:hAnsi="Tinos"/>
          <w:b/>
          <w:bCs/>
          <w:color w:val="000000"/>
        </w:rPr>
        <w:t>6. Тематическое планирование</w:t>
      </w:r>
    </w:p>
    <w:p>
      <w:pPr>
        <w:pStyle w:val="Normal"/>
        <w:shd w:val="clear" w:color="auto" w:fill="FFFFFF"/>
        <w:spacing w:lineRule="atLeast" w:line="328"/>
        <w:rPr>
          <w:rFonts w:ascii="Tinos" w:hAnsi="Tinos" w:cs="Arial"/>
          <w:color w:val="000000"/>
          <w:sz w:val="23"/>
          <w:szCs w:val="23"/>
        </w:rPr>
      </w:pPr>
      <w:r>
        <w:rPr>
          <w:rFonts w:cs="Arial" w:ascii="Tinos" w:hAnsi="Tinos"/>
          <w:color w:val="000000"/>
          <w:sz w:val="23"/>
          <w:szCs w:val="23"/>
        </w:rPr>
      </w:r>
    </w:p>
    <w:tbl>
      <w:tblPr>
        <w:tblW w:w="10176" w:type="dxa"/>
        <w:jc w:val="left"/>
        <w:tblInd w:w="3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9"/>
        <w:gridCol w:w="2225"/>
        <w:gridCol w:w="1447"/>
        <w:gridCol w:w="792"/>
        <w:gridCol w:w="1560"/>
        <w:gridCol w:w="51"/>
        <w:gridCol w:w="3386"/>
        <w:gridCol w:w="23"/>
        <w:gridCol w:w="11"/>
      </w:tblGrid>
      <w:tr>
        <w:trPr>
          <w:trHeight w:val="1058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b/>
                <w:color w:val="000000"/>
                <w:sz w:val="23"/>
                <w:szCs w:val="23"/>
              </w:rPr>
              <w:t xml:space="preserve">№ </w:t>
            </w:r>
            <w:r>
              <w:rPr>
                <w:rFonts w:ascii="Tinos" w:hAnsi="Tinos"/>
                <w:b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  <w:t>Название раздела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</w:rPr>
            </w:pPr>
            <w:r>
              <w:rPr>
                <w:rFonts w:ascii="Tinos" w:hAnsi="Tinos"/>
                <w:b/>
              </w:rPr>
              <w:t>Тема урока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b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Tinos" w:hAnsi="Tinos"/>
              </w:rPr>
            </w:pPr>
            <w:r>
              <w:rPr>
                <w:rFonts w:ascii="Tinos" w:hAnsi="Tinos"/>
                <w:b/>
              </w:rPr>
              <w:t>Виды и форма занятий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Tinos" w:hAnsi="Tinos"/>
              </w:rPr>
            </w:pPr>
            <w:r>
              <w:rPr>
                <w:rFonts w:eastAsia="Times New Roman CYR" w:ascii="Tinos" w:hAnsi="Tinos"/>
                <w:b/>
                <w:bCs/>
              </w:rPr>
              <w:t>В</w:t>
            </w:r>
            <w:r>
              <w:rPr>
                <w:rFonts w:eastAsia="Times New Roman CYR" w:ascii="Tinos" w:hAnsi="Tinos"/>
                <w:b/>
                <w:bCs/>
                <w:color w:val="000000"/>
              </w:rPr>
              <w:t>оспитательный компонент при изучении темы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Устройство корпуса судна. Рангоут и такелаж. Паруса.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eastAsia="Times New Roman CYR" w:ascii="Tinos" w:hAnsi="Tinos"/>
              </w:rPr>
              <w:t>- формирование у обучающихся познавательного интереса к изучению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Мореходные качества судов ходкость, поворотливость, управляемость.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nos" w:hAnsi="Tinos"/>
              </w:rPr>
            </w:pPr>
            <w:r>
              <w:rPr>
                <w:rFonts w:eastAsia="Symbol" w:cs="Symbol" w:ascii="Tinos" w:hAnsi="Tinos"/>
              </w:rPr>
              <w:t></w:t>
            </w: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Эксплуатационные качества судов.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00" w:before="57" w:after="57"/>
              <w:rPr>
                <w:rFonts w:ascii="Tinos" w:hAnsi="Tinos"/>
              </w:rPr>
            </w:pPr>
            <w:r>
              <w:rPr>
                <w:rFonts w:eastAsia="Symbol" w:cs="Symbol" w:ascii="Tinos" w:hAnsi="Tinos"/>
              </w:rPr>
              <w:t></w:t>
            </w: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формирование российской гражданской идентичности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Судовые устройства и системы.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воспитания уважения к труду и людям труда, трудовым достижениям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Морская практика. Судовые тросы. Морские узлы.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соревнования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Расположение и технические характеристики судовых огней и знаков. Сигналы бедствия.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развития навыков совместной работы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Плавание при ограниченной видимости.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умения работать самостоятельно, мобилизуя необходимые ресурсы, правильно оценивая смысл и последствия своих действий;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Огни и знаки. Звуковые и световые сигналы судов.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содействия профессиональному самоопределению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ТТХ Аварийно спасательного имущества.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  <w:t>приобщения к социально значимой деятельности для осмысленного выбора профессии.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Спасательные средства и устройства.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eastAsia="Symbol" w:cs="Symbol" w:ascii="Tinos" w:hAnsi="Tinos"/>
              </w:rPr>
              <w:t></w:t>
            </w: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содействие повышению привлекательности науки для подрастающего поколения, поддержку научно-технического творчества детей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Основы гидрометеорологии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Общие сведения о погоде. Общие признаки изменения погоды.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ascii="Tinos" w:hAnsi="Tinos"/>
              </w:rPr>
              <w:t>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Внешние факторы, влияющие на управляемость судном. (Ветер, течение)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ответственного отношения к своему здоровью и потребности в здоровом образе жизни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Определение места судна по пеленгам и расстояниям до ориентиров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Основы такелажного дела. Троса, типы, виды.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Основы такелажного дела. Характеристики тросов.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приобщение к уникальному российскому культурному наследию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Основы такелажного дела. Такелажный инструмент.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eastAsia="Symbol" w:cs="Symbol" w:ascii="Tinos" w:hAnsi="Tinos"/>
              </w:rPr>
              <w:t></w:t>
            </w: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формирования выраженной в поведении нравственной позиции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Основы такелажного дела. Приемы работы с такелажным инструментом.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содействия формированию у детей позитивных жизненных ориентиров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Основы такелажного дела. Блоки, тали, вертлюга и прочее такелажное снаряжение.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оказания помощи детям в выработке моделей поведения в различных трудных жизненных ситуациях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Определение места судна в море.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активной гражданской позиции, гражданской ответственности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Счисление пути судна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приверженности идеям интернационализма, дружбы, равенства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Международные правила предупреждения столкновения судов в море МППСС-72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воспитание уважительного отношения к национальному достоинству людей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Управление судном. Плавание в штормовых условиях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развитие правовой и политической культуры детей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Плавании в узкостях, на мелководье, по каналам, в тумане.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дискуссия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расширение конструктивного участия в принятии решений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Постановка судна на якорь и обеспечение безопасной стоянки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развитие в детской среде ответственности.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Швартовка судов к причалу, к судну в порту.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стабильной системы нравственных и смысловых установок личности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Буксировка судов, способы, меры безопасности.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разработку и реализацию программ воспитания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Форма и размеры Земли.  Координаты. Морские меры длины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российской гражданской идентичности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Управление судном по видимым ориентирам 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патриотизма, чувства гордости за свою Родину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Управление судном по магнитному компасу.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формирование умения ориентироваться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Система счета направлений. Истинный курс, истинный пеленг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приобщение к уникальному российскому культурному наследию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Связь и сигнализация. Сигналы бедствия, правила подачи.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сохранение, поддержки и развитие этнических культурных традиций</w:t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Связь и сигнализация. Международный свод сигналов МСС. Практика применения.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Коллективно групповая игра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</w:rPr>
            </w:pPr>
            <w:r>
              <w:rPr>
                <w:rFonts w:eastAsia="Symbol" w:cs="Symbol" w:ascii="Tinos" w:hAnsi="Tinos"/>
              </w:rPr>
              <w:t></w:t>
            </w: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формирование ответственного отношения к своему здоровью и потребности в здоровом образе жизни;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</w:pPr>
            <w:r>
              <w:rPr>
                <w:rFonts w:ascii="Tinos" w:hAnsi="Tinos"/>
                <w:color w:val="000000"/>
                <w:sz w:val="23"/>
                <w:szCs w:val="23"/>
                <w:shd w:fill="FFFFFF" w:val="clear"/>
              </w:rPr>
              <w:t>Итоговый зачет.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Групповая</w:t>
            </w:r>
          </w:p>
          <w:p>
            <w:pPr>
              <w:pStyle w:val="Normal"/>
              <w:widowControl w:val="false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  <w:t>Конференция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  <w:tr>
        <w:trPr/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>Итого 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>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color w:val="000000"/>
                <w:sz w:val="23"/>
                <w:szCs w:val="23"/>
              </w:rPr>
            </w:pPr>
            <w:r>
              <w:rPr>
                <w:rFonts w:ascii="Tinos" w:hAnsi="Tinos"/>
                <w:color w:val="000000"/>
                <w:sz w:val="23"/>
                <w:szCs w:val="23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</w:tr>
    </w:tbl>
    <w:p>
      <w:pPr>
        <w:pStyle w:val="Normal"/>
        <w:spacing w:before="0" w:after="200"/>
        <w:rPr>
          <w:rFonts w:ascii="Tinos" w:hAnsi="Tinos"/>
        </w:rPr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e93b7b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e4037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43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27436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27436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Содержимое таблицы"/>
    <w:basedOn w:val="Normal"/>
    <w:qFormat/>
    <w:rsid w:val="00e93b7b"/>
    <w:pPr>
      <w:suppressLineNumbers/>
      <w:suppressAutoHyphens w:val="true"/>
      <w:spacing w:lineRule="auto" w:line="276" w:before="0" w:after="200"/>
    </w:pPr>
    <w:rPr>
      <w:rFonts w:ascii="Calibri" w:hAnsi="Calibri" w:cs="Calibri"/>
      <w:sz w:val="22"/>
      <w:szCs w:val="22"/>
      <w:lang w:eastAsia="ar-SA"/>
    </w:rPr>
  </w:style>
  <w:style w:type="paragraph" w:styleId="Default" w:customStyle="1">
    <w:name w:val="Default"/>
    <w:qFormat/>
    <w:rsid w:val="00e93b7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c5c15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ae09f0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e4037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27436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27436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6FFF-FB28-496E-8DEE-EE76AED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LibreOffice/7.0.3.1$Linux_X86_64 LibreOffice_project/00$Build-1</Application>
  <Pages>8</Pages>
  <Words>1617</Words>
  <Characters>11895</Characters>
  <CharactersWithSpaces>14313</CharactersWithSpaces>
  <Paragraphs>274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2021-09-08T17:29:00Z</dcterms:created>
  <dc:creator>Igor'</dc:creator>
  <dc:description/>
  <dc:language>ru-RU</dc:language>
  <cp:lastModifiedBy/>
  <cp:lastPrinted>2021-10-29T09:54:00Z</cp:lastPrinted>
  <dcterms:modified xsi:type="dcterms:W3CDTF">2022-09-20T11:13:06Z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